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355612" w:rsidRPr="00355612" w14:paraId="17BFF66F" w14:textId="77777777" w:rsidTr="004E3B0F">
        <w:trPr>
          <w:trHeight w:hRule="exact" w:val="142"/>
        </w:trPr>
        <w:tc>
          <w:tcPr>
            <w:tcW w:w="709" w:type="dxa"/>
            <w:vMerge w:val="restart"/>
            <w:shd w:val="clear" w:color="auto" w:fill="auto"/>
            <w:vAlign w:val="center"/>
          </w:tcPr>
          <w:p w14:paraId="01543439" w14:textId="77777777" w:rsidR="00355612" w:rsidRPr="00355612" w:rsidRDefault="00355612" w:rsidP="008961F3">
            <w:pPr>
              <w:spacing w:after="0" w:line="240" w:lineRule="auto"/>
              <w:rPr>
                <w:rFonts w:ascii="Times New Roman" w:hAnsi="Times New Roman"/>
                <w:sz w:val="20"/>
                <w:lang w:val="en-GB"/>
              </w:rPr>
            </w:pPr>
            <w:bookmarkStart w:id="0" w:name="_Hlk103340665"/>
            <w:bookmarkStart w:id="1" w:name="_Hlk24804592"/>
            <w:bookmarkEnd w:id="0"/>
            <w:r w:rsidRPr="00355612">
              <w:rPr>
                <w:rFonts w:ascii="Times New Roman" w:hAnsi="Times New Roman"/>
                <w:noProof/>
                <w:sz w:val="24"/>
                <w:lang w:val="en-GB"/>
              </w:rPr>
              <w:drawing>
                <wp:anchor distT="0" distB="0" distL="114300" distR="114300" simplePos="0" relativeHeight="251658752" behindDoc="0" locked="0" layoutInCell="1" allowOverlap="1" wp14:anchorId="3C6B49EE" wp14:editId="7AFFFFDB">
                  <wp:simplePos x="0" y="0"/>
                  <wp:positionH relativeFrom="column">
                    <wp:posOffset>-635</wp:posOffset>
                  </wp:positionH>
                  <wp:positionV relativeFrom="paragraph">
                    <wp:posOffset>343535</wp:posOffset>
                  </wp:positionV>
                  <wp:extent cx="432000" cy="426000"/>
                  <wp:effectExtent l="0" t="0" r="0" b="0"/>
                  <wp:wrapNone/>
                  <wp:docPr id="14409708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16640FD4" w14:textId="77777777" w:rsidR="00355612" w:rsidRPr="00355612" w:rsidRDefault="00355612" w:rsidP="008961F3">
            <w:pPr>
              <w:spacing w:after="0" w:line="240" w:lineRule="auto"/>
              <w:jc w:val="center"/>
              <w:rPr>
                <w:rFonts w:ascii="Times New Roman" w:hAnsi="Times New Roman"/>
                <w:lang w:val="en-GB"/>
              </w:rPr>
            </w:pPr>
          </w:p>
        </w:tc>
      </w:tr>
      <w:tr w:rsidR="00355612" w:rsidRPr="00355612" w14:paraId="3E7F80EB" w14:textId="77777777" w:rsidTr="004E3B0F">
        <w:trPr>
          <w:trHeight w:hRule="exact" w:val="283"/>
        </w:trPr>
        <w:tc>
          <w:tcPr>
            <w:tcW w:w="709" w:type="dxa"/>
            <w:vMerge/>
            <w:shd w:val="clear" w:color="auto" w:fill="auto"/>
          </w:tcPr>
          <w:p w14:paraId="3A5DCB11" w14:textId="77777777" w:rsidR="00355612" w:rsidRPr="00355612" w:rsidRDefault="00355612" w:rsidP="008961F3">
            <w:pPr>
              <w:spacing w:after="0" w:line="240" w:lineRule="auto"/>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3B4418FD" w14:textId="77777777" w:rsidR="00355612" w:rsidRPr="00355612" w:rsidRDefault="00355612" w:rsidP="008961F3">
            <w:pPr>
              <w:spacing w:after="0" w:line="240" w:lineRule="auto"/>
              <w:jc w:val="center"/>
              <w:rPr>
                <w:rFonts w:ascii="Times New Roman" w:hAnsi="Times New Roman"/>
                <w:lang w:val="en-GB"/>
              </w:rPr>
            </w:pPr>
            <w:proofErr w:type="spellStart"/>
            <w:r w:rsidRPr="00355612">
              <w:rPr>
                <w:rFonts w:ascii="Times New Roman" w:hAnsi="Times New Roman"/>
                <w:b/>
                <w:sz w:val="20"/>
                <w:lang w:val="en-GB"/>
              </w:rPr>
              <w:t>Rocznik</w:t>
            </w:r>
            <w:proofErr w:type="spellEnd"/>
            <w:r w:rsidRPr="00355612">
              <w:rPr>
                <w:rFonts w:ascii="Times New Roman" w:hAnsi="Times New Roman"/>
                <w:b/>
                <w:sz w:val="20"/>
                <w:lang w:val="en-GB"/>
              </w:rPr>
              <w:t xml:space="preserve"> </w:t>
            </w:r>
            <w:proofErr w:type="spellStart"/>
            <w:r w:rsidRPr="00355612">
              <w:rPr>
                <w:rFonts w:ascii="Times New Roman" w:hAnsi="Times New Roman"/>
                <w:b/>
                <w:sz w:val="20"/>
                <w:lang w:val="en-GB"/>
              </w:rPr>
              <w:t>Ochrona</w:t>
            </w:r>
            <w:proofErr w:type="spellEnd"/>
            <w:r w:rsidRPr="00355612">
              <w:rPr>
                <w:rFonts w:ascii="Times New Roman" w:hAnsi="Times New Roman"/>
                <w:b/>
                <w:sz w:val="20"/>
                <w:lang w:val="en-GB"/>
              </w:rPr>
              <w:t xml:space="preserve"> </w:t>
            </w:r>
            <w:proofErr w:type="spellStart"/>
            <w:r w:rsidRPr="00355612">
              <w:rPr>
                <w:rFonts w:ascii="Times New Roman" w:hAnsi="Times New Roman"/>
                <w:b/>
                <w:sz w:val="20"/>
                <w:lang w:val="en-GB"/>
              </w:rPr>
              <w:t>Środowiska</w:t>
            </w:r>
            <w:proofErr w:type="spellEnd"/>
          </w:p>
        </w:tc>
      </w:tr>
      <w:tr w:rsidR="00355612" w:rsidRPr="00355612" w14:paraId="38528E4D" w14:textId="77777777" w:rsidTr="004E3B0F">
        <w:trPr>
          <w:trHeight w:hRule="exact" w:val="283"/>
        </w:trPr>
        <w:tc>
          <w:tcPr>
            <w:tcW w:w="709" w:type="dxa"/>
            <w:vMerge/>
            <w:shd w:val="clear" w:color="auto" w:fill="auto"/>
          </w:tcPr>
          <w:p w14:paraId="3C819D80" w14:textId="77777777" w:rsidR="00355612" w:rsidRPr="00355612" w:rsidRDefault="00355612" w:rsidP="008961F3">
            <w:pPr>
              <w:spacing w:after="0" w:line="240" w:lineRule="auto"/>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53840114" w14:textId="77777777" w:rsidR="00355612" w:rsidRPr="00355612" w:rsidRDefault="00355612" w:rsidP="008961F3">
            <w:pPr>
              <w:spacing w:after="0" w:line="240" w:lineRule="auto"/>
              <w:rPr>
                <w:rFonts w:ascii="Times New Roman" w:hAnsi="Times New Roman"/>
                <w:sz w:val="18"/>
                <w:szCs w:val="18"/>
                <w:lang w:val="en-GB"/>
              </w:rPr>
            </w:pPr>
            <w:r w:rsidRPr="00355612">
              <w:rPr>
                <w:rFonts w:ascii="Times New Roman" w:hAnsi="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0A2A4458" w14:textId="77777777" w:rsidR="00355612" w:rsidRPr="00355612" w:rsidRDefault="00355612" w:rsidP="008961F3">
            <w:pPr>
              <w:tabs>
                <w:tab w:val="left" w:pos="3057"/>
              </w:tabs>
              <w:spacing w:after="0" w:line="240" w:lineRule="auto"/>
              <w:ind w:left="227"/>
              <w:rPr>
                <w:rFonts w:ascii="Times New Roman" w:hAnsi="Times New Roman"/>
                <w:sz w:val="18"/>
                <w:szCs w:val="18"/>
                <w:lang w:val="en-GB"/>
              </w:rPr>
            </w:pPr>
            <w:r w:rsidRPr="00355612">
              <w:rPr>
                <w:rFonts w:ascii="Times New Roman" w:hAnsi="Times New Roman"/>
                <w:sz w:val="18"/>
                <w:szCs w:val="18"/>
                <w:lang w:val="en-GB"/>
              </w:rPr>
              <w:t>Year 2023</w:t>
            </w:r>
            <w:r w:rsidRPr="00355612">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128CA2E9" w14:textId="03EE0A5B" w:rsidR="00355612" w:rsidRPr="00355612" w:rsidRDefault="00355612" w:rsidP="008961F3">
            <w:pPr>
              <w:spacing w:after="0" w:line="240" w:lineRule="auto"/>
              <w:jc w:val="right"/>
              <w:rPr>
                <w:rFonts w:ascii="Times New Roman" w:hAnsi="Times New Roman"/>
                <w:sz w:val="18"/>
                <w:szCs w:val="18"/>
                <w:lang w:val="en-GB"/>
              </w:rPr>
            </w:pPr>
            <w:r w:rsidRPr="00355612">
              <w:rPr>
                <w:rFonts w:ascii="Times New Roman" w:hAnsi="Times New Roman"/>
                <w:sz w:val="18"/>
                <w:szCs w:val="18"/>
                <w:lang w:val="en-GB"/>
              </w:rPr>
              <w:t xml:space="preserve">pp. </w:t>
            </w:r>
            <w:r w:rsidR="003E6E15">
              <w:rPr>
                <w:rFonts w:ascii="Times New Roman" w:hAnsi="Times New Roman"/>
                <w:sz w:val="18"/>
                <w:szCs w:val="18"/>
                <w:lang w:val="en-GB"/>
              </w:rPr>
              <w:t>148</w:t>
            </w:r>
            <w:r w:rsidRPr="00355612">
              <w:rPr>
                <w:rFonts w:ascii="Times New Roman" w:hAnsi="Times New Roman"/>
                <w:sz w:val="18"/>
                <w:szCs w:val="18"/>
                <w:lang w:val="en-GB"/>
              </w:rPr>
              <w:t>-</w:t>
            </w:r>
            <w:r w:rsidR="003E6E15">
              <w:rPr>
                <w:rFonts w:ascii="Times New Roman" w:hAnsi="Times New Roman"/>
                <w:sz w:val="18"/>
                <w:szCs w:val="18"/>
                <w:lang w:val="en-GB"/>
              </w:rPr>
              <w:t>158</w:t>
            </w:r>
          </w:p>
        </w:tc>
      </w:tr>
      <w:tr w:rsidR="00355612" w:rsidRPr="00355612" w14:paraId="236B883A" w14:textId="77777777" w:rsidTr="004E3B0F">
        <w:trPr>
          <w:trHeight w:hRule="exact" w:val="283"/>
        </w:trPr>
        <w:tc>
          <w:tcPr>
            <w:tcW w:w="709" w:type="dxa"/>
            <w:shd w:val="clear" w:color="auto" w:fill="auto"/>
          </w:tcPr>
          <w:p w14:paraId="5229E8A7" w14:textId="77777777" w:rsidR="00355612" w:rsidRPr="00355612" w:rsidRDefault="00355612" w:rsidP="008961F3">
            <w:pPr>
              <w:spacing w:after="0" w:line="240" w:lineRule="auto"/>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2CCF2FDA" w14:textId="25990C3D" w:rsidR="00355612" w:rsidRPr="00355612" w:rsidRDefault="00355612" w:rsidP="008961F3">
            <w:pPr>
              <w:tabs>
                <w:tab w:val="right" w:pos="8928"/>
              </w:tabs>
              <w:spacing w:after="0" w:line="240" w:lineRule="auto"/>
              <w:rPr>
                <w:rFonts w:ascii="Times New Roman" w:hAnsi="Times New Roman"/>
                <w:sz w:val="18"/>
                <w:szCs w:val="18"/>
                <w:lang w:val="en-GB"/>
              </w:rPr>
            </w:pPr>
            <w:r w:rsidRPr="00355612">
              <w:rPr>
                <w:rFonts w:ascii="Times New Roman" w:hAnsi="Times New Roman"/>
                <w:sz w:val="18"/>
                <w:szCs w:val="18"/>
                <w:lang w:val="en-GB"/>
              </w:rPr>
              <w:t>https://doi.org/10.54740/ros.2023.0</w:t>
            </w:r>
            <w:r w:rsidR="003E6E15">
              <w:rPr>
                <w:rFonts w:ascii="Times New Roman" w:hAnsi="Times New Roman"/>
                <w:sz w:val="18"/>
                <w:szCs w:val="18"/>
                <w:lang w:val="en-GB"/>
              </w:rPr>
              <w:t>15</w:t>
            </w:r>
            <w:r w:rsidRPr="00355612">
              <w:rPr>
                <w:rFonts w:ascii="Times New Roman" w:hAnsi="Times New Roman"/>
                <w:sz w:val="18"/>
                <w:szCs w:val="18"/>
                <w:lang w:val="en-GB"/>
              </w:rPr>
              <w:tab/>
              <w:t>open access</w:t>
            </w:r>
          </w:p>
        </w:tc>
      </w:tr>
      <w:tr w:rsidR="00355612" w:rsidRPr="00355612" w14:paraId="19932125" w14:textId="77777777" w:rsidTr="004E3B0F">
        <w:trPr>
          <w:trHeight w:hRule="exact" w:val="283"/>
        </w:trPr>
        <w:tc>
          <w:tcPr>
            <w:tcW w:w="709" w:type="dxa"/>
            <w:shd w:val="clear" w:color="auto" w:fill="auto"/>
          </w:tcPr>
          <w:p w14:paraId="6F55DE3A" w14:textId="77777777" w:rsidR="00355612" w:rsidRPr="00355612" w:rsidRDefault="00355612" w:rsidP="008961F3">
            <w:pPr>
              <w:spacing w:after="0" w:line="240" w:lineRule="auto"/>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4C3B4A03" w14:textId="45343CE2" w:rsidR="00355612" w:rsidRPr="00355612" w:rsidRDefault="00355612" w:rsidP="008961F3">
            <w:pPr>
              <w:tabs>
                <w:tab w:val="left" w:pos="3828"/>
                <w:tab w:val="right" w:pos="8928"/>
              </w:tabs>
              <w:spacing w:after="0" w:line="240" w:lineRule="auto"/>
              <w:rPr>
                <w:rFonts w:ascii="Times New Roman" w:hAnsi="Times New Roman"/>
                <w:spacing w:val="-4"/>
                <w:sz w:val="18"/>
                <w:szCs w:val="18"/>
                <w:lang w:val="en-GB"/>
              </w:rPr>
            </w:pPr>
            <w:r w:rsidRPr="00355612">
              <w:rPr>
                <w:rFonts w:ascii="Times New Roman" w:hAnsi="Times New Roman"/>
                <w:spacing w:val="-4"/>
                <w:sz w:val="18"/>
                <w:szCs w:val="18"/>
                <w:lang w:val="en-GB"/>
              </w:rPr>
              <w:t xml:space="preserve">Received: </w:t>
            </w:r>
            <w:r>
              <w:rPr>
                <w:rFonts w:ascii="Times New Roman" w:hAnsi="Times New Roman"/>
                <w:spacing w:val="-4"/>
                <w:sz w:val="18"/>
                <w:szCs w:val="18"/>
                <w:lang w:val="en-GB"/>
              </w:rPr>
              <w:t>July</w:t>
            </w:r>
            <w:r w:rsidRPr="00355612">
              <w:rPr>
                <w:rFonts w:ascii="Times New Roman" w:hAnsi="Times New Roman"/>
                <w:spacing w:val="-4"/>
                <w:sz w:val="18"/>
                <w:szCs w:val="18"/>
                <w:lang w:val="en-GB"/>
              </w:rPr>
              <w:t xml:space="preserve"> 2023</w:t>
            </w:r>
            <w:r w:rsidRPr="00355612">
              <w:rPr>
                <w:rFonts w:ascii="Times New Roman" w:hAnsi="Times New Roman"/>
                <w:spacing w:val="-4"/>
                <w:sz w:val="18"/>
                <w:szCs w:val="18"/>
                <w:lang w:val="en-GB"/>
              </w:rPr>
              <w:tab/>
              <w:t xml:space="preserve">Accepted: </w:t>
            </w:r>
            <w:r>
              <w:rPr>
                <w:rFonts w:ascii="Times New Roman" w:hAnsi="Times New Roman"/>
                <w:spacing w:val="-4"/>
                <w:sz w:val="18"/>
                <w:szCs w:val="18"/>
                <w:lang w:val="en-GB"/>
              </w:rPr>
              <w:t>August</w:t>
            </w:r>
            <w:r w:rsidRPr="00355612">
              <w:rPr>
                <w:rFonts w:ascii="Times New Roman" w:hAnsi="Times New Roman"/>
                <w:spacing w:val="-4"/>
                <w:sz w:val="18"/>
                <w:szCs w:val="18"/>
                <w:lang w:val="en-GB"/>
              </w:rPr>
              <w:t xml:space="preserve"> 2023</w:t>
            </w:r>
            <w:r w:rsidRPr="00355612">
              <w:rPr>
                <w:rFonts w:ascii="Times New Roman" w:hAnsi="Times New Roman"/>
                <w:spacing w:val="-4"/>
                <w:sz w:val="18"/>
                <w:szCs w:val="18"/>
                <w:lang w:val="en-GB"/>
              </w:rPr>
              <w:tab/>
              <w:t xml:space="preserve">Published: </w:t>
            </w:r>
            <w:r>
              <w:rPr>
                <w:rFonts w:ascii="Times New Roman" w:hAnsi="Times New Roman"/>
                <w:spacing w:val="-4"/>
                <w:sz w:val="18"/>
                <w:szCs w:val="18"/>
                <w:lang w:val="en-GB"/>
              </w:rPr>
              <w:t>August</w:t>
            </w:r>
            <w:r w:rsidRPr="00355612">
              <w:rPr>
                <w:rFonts w:ascii="Times New Roman" w:hAnsi="Times New Roman"/>
                <w:spacing w:val="-4"/>
                <w:sz w:val="18"/>
                <w:szCs w:val="18"/>
                <w:lang w:val="en-GB"/>
              </w:rPr>
              <w:t xml:space="preserve"> 2023</w:t>
            </w:r>
          </w:p>
        </w:tc>
      </w:tr>
    </w:tbl>
    <w:bookmarkEnd w:id="1"/>
    <w:p w14:paraId="4939A8CB" w14:textId="77777777" w:rsidR="00494CDF" w:rsidRPr="004A592F" w:rsidRDefault="00494CDF" w:rsidP="008B602E">
      <w:pPr>
        <w:pStyle w:val="Rtytu"/>
      </w:pPr>
      <w:proofErr w:type="spellStart"/>
      <w:r w:rsidRPr="004A592F">
        <w:t>Prospects</w:t>
      </w:r>
      <w:proofErr w:type="spellEnd"/>
      <w:r w:rsidRPr="004A592F">
        <w:t xml:space="preserve"> for the </w:t>
      </w:r>
      <w:proofErr w:type="spellStart"/>
      <w:r w:rsidR="0014159D" w:rsidRPr="004A592F">
        <w:t>Use</w:t>
      </w:r>
      <w:proofErr w:type="spellEnd"/>
      <w:r w:rsidR="0014159D" w:rsidRPr="004A592F">
        <w:t xml:space="preserve"> </w:t>
      </w:r>
      <w:r w:rsidRPr="004A592F">
        <w:t xml:space="preserve">of </w:t>
      </w:r>
      <w:proofErr w:type="spellStart"/>
      <w:r w:rsidR="0014159D" w:rsidRPr="004A592F">
        <w:t>Renewable</w:t>
      </w:r>
      <w:proofErr w:type="spellEnd"/>
      <w:r w:rsidR="0014159D" w:rsidRPr="004A592F">
        <w:t xml:space="preserve"> Energy </w:t>
      </w:r>
      <w:proofErr w:type="spellStart"/>
      <w:r w:rsidR="0014159D" w:rsidRPr="004A592F">
        <w:t>Sources</w:t>
      </w:r>
      <w:proofErr w:type="spellEnd"/>
      <w:r w:rsidR="0014159D" w:rsidRPr="004A592F">
        <w:t xml:space="preserve"> </w:t>
      </w:r>
      <w:proofErr w:type="spellStart"/>
      <w:r w:rsidRPr="004A592F">
        <w:t>while</w:t>
      </w:r>
      <w:proofErr w:type="spellEnd"/>
      <w:r w:rsidRPr="004A592F">
        <w:t xml:space="preserve"> </w:t>
      </w:r>
      <w:proofErr w:type="spellStart"/>
      <w:r w:rsidR="0014159D" w:rsidRPr="004A592F">
        <w:t>Increasing</w:t>
      </w:r>
      <w:proofErr w:type="spellEnd"/>
      <w:r w:rsidR="0014159D" w:rsidRPr="004A592F">
        <w:t xml:space="preserve"> </w:t>
      </w:r>
      <w:r w:rsidRPr="004A592F">
        <w:t xml:space="preserve">the </w:t>
      </w:r>
      <w:r w:rsidR="0014159D" w:rsidRPr="004A592F">
        <w:t xml:space="preserve">Energy </w:t>
      </w:r>
      <w:proofErr w:type="spellStart"/>
      <w:r w:rsidR="0014159D" w:rsidRPr="004A592F">
        <w:t>Efficiency</w:t>
      </w:r>
      <w:proofErr w:type="spellEnd"/>
      <w:r w:rsidR="0014159D" w:rsidRPr="004A592F">
        <w:t xml:space="preserve"> Level </w:t>
      </w:r>
      <w:r w:rsidRPr="004A592F">
        <w:t xml:space="preserve">of </w:t>
      </w:r>
      <w:r w:rsidR="0014159D" w:rsidRPr="004A592F">
        <w:t xml:space="preserve">Office </w:t>
      </w:r>
      <w:proofErr w:type="spellStart"/>
      <w:r w:rsidR="0014159D" w:rsidRPr="004A592F">
        <w:t>Buildings</w:t>
      </w:r>
      <w:proofErr w:type="spellEnd"/>
      <w:r w:rsidR="0014159D" w:rsidRPr="004A592F">
        <w:t xml:space="preserve"> </w:t>
      </w:r>
      <w:r w:rsidRPr="004A592F">
        <w:t xml:space="preserve">to the </w:t>
      </w:r>
      <w:r w:rsidR="0014159D" w:rsidRPr="004A592F">
        <w:t xml:space="preserve">Level </w:t>
      </w:r>
      <w:r w:rsidRPr="004A592F">
        <w:t xml:space="preserve">of </w:t>
      </w:r>
      <w:proofErr w:type="spellStart"/>
      <w:r w:rsidRPr="004A592F">
        <w:t>nZEB</w:t>
      </w:r>
      <w:proofErr w:type="spellEnd"/>
    </w:p>
    <w:p w14:paraId="4D60856C" w14:textId="77777777" w:rsidR="00494CDF" w:rsidRPr="004A592F" w:rsidRDefault="00494CDF" w:rsidP="008B602E">
      <w:pPr>
        <w:pStyle w:val="Rautor"/>
        <w:rPr>
          <w:sz w:val="12"/>
          <w:szCs w:val="12"/>
          <w:lang w:eastAsia="uk-UA"/>
        </w:rPr>
      </w:pPr>
      <w:proofErr w:type="spellStart"/>
      <w:r w:rsidRPr="004A592F">
        <w:rPr>
          <w:lang w:eastAsia="uk-UA"/>
        </w:rPr>
        <w:t>Valeriі</w:t>
      </w:r>
      <w:proofErr w:type="spellEnd"/>
      <w:r w:rsidRPr="004A592F">
        <w:rPr>
          <w:lang w:eastAsia="uk-UA"/>
        </w:rPr>
        <w:t xml:space="preserve"> Deshko</w:t>
      </w:r>
      <w:r w:rsidRPr="004A592F">
        <w:rPr>
          <w:vertAlign w:val="superscript"/>
          <w:lang w:eastAsia="uk-UA"/>
        </w:rPr>
        <w:t>1</w:t>
      </w:r>
      <w:r w:rsidRPr="004A592F">
        <w:rPr>
          <w:lang w:eastAsia="uk-UA"/>
        </w:rPr>
        <w:t>, Inna Bilous</w:t>
      </w:r>
      <w:r w:rsidRPr="004A592F">
        <w:rPr>
          <w:vertAlign w:val="superscript"/>
          <w:lang w:eastAsia="uk-UA"/>
        </w:rPr>
        <w:t>2</w:t>
      </w:r>
      <w:r w:rsidR="004F3DA2" w:rsidRPr="004A592F">
        <w:rPr>
          <w:vertAlign w:val="superscript"/>
          <w:lang w:eastAsia="uk-UA"/>
        </w:rPr>
        <w:t>*</w:t>
      </w:r>
      <w:r w:rsidRPr="004A592F">
        <w:rPr>
          <w:lang w:eastAsia="uk-UA"/>
        </w:rPr>
        <w:t>,</w:t>
      </w:r>
      <w:r w:rsidR="0014159D" w:rsidRPr="004A592F">
        <w:rPr>
          <w:lang w:eastAsia="uk-UA"/>
        </w:rPr>
        <w:t xml:space="preserve"> </w:t>
      </w:r>
      <w:proofErr w:type="spellStart"/>
      <w:r w:rsidRPr="004A592F">
        <w:rPr>
          <w:lang w:eastAsia="uk-UA"/>
        </w:rPr>
        <w:t>Nadiya</w:t>
      </w:r>
      <w:proofErr w:type="spellEnd"/>
      <w:r w:rsidRPr="004A592F">
        <w:rPr>
          <w:lang w:eastAsia="uk-UA"/>
        </w:rPr>
        <w:t xml:space="preserve"> Buyak</w:t>
      </w:r>
      <w:r w:rsidRPr="004A592F">
        <w:rPr>
          <w:vertAlign w:val="superscript"/>
          <w:lang w:eastAsia="uk-UA"/>
        </w:rPr>
        <w:t>3</w:t>
      </w:r>
      <w:r w:rsidRPr="004A592F">
        <w:rPr>
          <w:lang w:eastAsia="uk-UA"/>
        </w:rPr>
        <w:t xml:space="preserve">, </w:t>
      </w:r>
      <w:proofErr w:type="spellStart"/>
      <w:r w:rsidRPr="004A592F">
        <w:rPr>
          <w:lang w:eastAsia="uk-UA"/>
        </w:rPr>
        <w:t>Olena</w:t>
      </w:r>
      <w:proofErr w:type="spellEnd"/>
      <w:r w:rsidRPr="004A592F">
        <w:rPr>
          <w:lang w:eastAsia="uk-UA"/>
        </w:rPr>
        <w:t xml:space="preserve"> Naumchuk</w:t>
      </w:r>
      <w:r w:rsidRPr="004A592F">
        <w:rPr>
          <w:vertAlign w:val="superscript"/>
          <w:lang w:eastAsia="uk-UA"/>
        </w:rPr>
        <w:t>4</w:t>
      </w:r>
    </w:p>
    <w:p w14:paraId="09E6516D" w14:textId="0C9D8C29" w:rsidR="00494CDF" w:rsidRPr="004A592F" w:rsidRDefault="00494CDF" w:rsidP="00B75D1C">
      <w:pPr>
        <w:pStyle w:val="Rafiliacja"/>
        <w:rPr>
          <w:bCs/>
          <w:shd w:val="clear" w:color="auto" w:fill="FFFFFF"/>
        </w:rPr>
      </w:pPr>
      <w:r w:rsidRPr="004A592F">
        <w:rPr>
          <w:rFonts w:eastAsia="Times New Roman"/>
          <w:vertAlign w:val="superscript"/>
        </w:rPr>
        <w:t>1</w:t>
      </w:r>
      <w:r w:rsidRPr="004A592F">
        <w:t xml:space="preserve">National </w:t>
      </w:r>
      <w:r w:rsidR="008961F3">
        <w:t>T</w:t>
      </w:r>
      <w:r w:rsidRPr="004A592F">
        <w:t xml:space="preserve">echnical </w:t>
      </w:r>
      <w:r w:rsidR="008961F3">
        <w:t>U</w:t>
      </w:r>
      <w:r w:rsidRPr="004A592F">
        <w:t xml:space="preserve">niversity of </w:t>
      </w:r>
      <w:proofErr w:type="spellStart"/>
      <w:r w:rsidRPr="004A592F">
        <w:t>Ukraine</w:t>
      </w:r>
      <w:proofErr w:type="spellEnd"/>
      <w:r w:rsidRPr="004A592F">
        <w:t xml:space="preserve"> "Igor </w:t>
      </w:r>
      <w:proofErr w:type="spellStart"/>
      <w:r w:rsidRPr="004A592F">
        <w:t>Sikorsky</w:t>
      </w:r>
      <w:proofErr w:type="spellEnd"/>
      <w:r w:rsidRPr="004A592F">
        <w:t xml:space="preserve"> </w:t>
      </w:r>
      <w:proofErr w:type="spellStart"/>
      <w:r w:rsidRPr="004A592F">
        <w:t>Kyiv</w:t>
      </w:r>
      <w:proofErr w:type="spellEnd"/>
      <w:r w:rsidRPr="004A592F">
        <w:t xml:space="preserve"> </w:t>
      </w:r>
      <w:proofErr w:type="spellStart"/>
      <w:r w:rsidRPr="004A592F">
        <w:t>Polytechnic</w:t>
      </w:r>
      <w:proofErr w:type="spellEnd"/>
      <w:r w:rsidRPr="004A592F">
        <w:t xml:space="preserve"> </w:t>
      </w:r>
      <w:proofErr w:type="spellStart"/>
      <w:r w:rsidRPr="004A592F">
        <w:t>Institute</w:t>
      </w:r>
      <w:proofErr w:type="spellEnd"/>
      <w:r w:rsidRPr="004A592F">
        <w:t xml:space="preserve">", </w:t>
      </w:r>
      <w:hyperlink r:id="rId9" w:history="1">
        <w:r w:rsidRPr="004A592F">
          <w:t>Educational and Research Institute of Nuclear and Heat Power Engineering</w:t>
        </w:r>
      </w:hyperlink>
      <w:r w:rsidRPr="004A592F">
        <w:rPr>
          <w:shd w:val="clear" w:color="auto" w:fill="FFFFFF"/>
        </w:rPr>
        <w:t xml:space="preserve">, </w:t>
      </w:r>
      <w:proofErr w:type="spellStart"/>
      <w:r w:rsidRPr="004A592F">
        <w:t>Ukraine</w:t>
      </w:r>
      <w:proofErr w:type="spellEnd"/>
      <w:r w:rsidRPr="004A592F">
        <w:t>,</w:t>
      </w:r>
      <w:r w:rsidR="008961F3">
        <w:br/>
      </w:r>
      <w:proofErr w:type="spellStart"/>
      <w:r w:rsidRPr="004A592F">
        <w:rPr>
          <w:bCs/>
          <w:shd w:val="clear" w:color="auto" w:fill="FFFFFF"/>
        </w:rPr>
        <w:t>Institute</w:t>
      </w:r>
      <w:proofErr w:type="spellEnd"/>
      <w:r w:rsidRPr="004A592F">
        <w:rPr>
          <w:bCs/>
          <w:shd w:val="clear" w:color="auto" w:fill="FFFFFF"/>
        </w:rPr>
        <w:t xml:space="preserve"> of Engineering </w:t>
      </w:r>
      <w:proofErr w:type="spellStart"/>
      <w:r w:rsidRPr="004A592F">
        <w:rPr>
          <w:bCs/>
          <w:shd w:val="clear" w:color="auto" w:fill="FFFFFF"/>
        </w:rPr>
        <w:t>Thermophysics</w:t>
      </w:r>
      <w:proofErr w:type="spellEnd"/>
      <w:r w:rsidRPr="004A592F">
        <w:rPr>
          <w:bCs/>
          <w:shd w:val="clear" w:color="auto" w:fill="FFFFFF"/>
        </w:rPr>
        <w:t xml:space="preserve"> of NAS of </w:t>
      </w:r>
      <w:proofErr w:type="spellStart"/>
      <w:r w:rsidRPr="004A592F">
        <w:rPr>
          <w:bCs/>
          <w:shd w:val="clear" w:color="auto" w:fill="FFFFFF"/>
        </w:rPr>
        <w:t>Ukraine</w:t>
      </w:r>
      <w:proofErr w:type="spellEnd"/>
      <w:r w:rsidR="00B75D1C">
        <w:rPr>
          <w:bCs/>
          <w:shd w:val="clear" w:color="auto" w:fill="FFFFFF"/>
        </w:rPr>
        <w:br/>
      </w:r>
      <w:r w:rsidR="00B75D1C" w:rsidRPr="00116999">
        <w:rPr>
          <w:rFonts w:eastAsia="Times New Roman"/>
          <w:color w:val="000000"/>
          <w:lang w:eastAsia="uk-UA"/>
        </w:rPr>
        <w:t>https://orcid.org/</w:t>
      </w:r>
      <w:r w:rsidR="00B75D1C" w:rsidRPr="004A592F">
        <w:rPr>
          <w:rFonts w:eastAsia="Times New Roman"/>
          <w:color w:val="000000"/>
          <w:lang w:eastAsia="uk-UA"/>
        </w:rPr>
        <w:t>0000-0002-8218-3933</w:t>
      </w:r>
    </w:p>
    <w:p w14:paraId="63CE6B0F" w14:textId="6BB42DCF" w:rsidR="00494CDF" w:rsidRDefault="00494CDF" w:rsidP="00B75D1C">
      <w:pPr>
        <w:pStyle w:val="Rafiliacja"/>
        <w:rPr>
          <w:bCs/>
          <w:shd w:val="clear" w:color="auto" w:fill="FFFFFF"/>
        </w:rPr>
      </w:pPr>
      <w:r w:rsidRPr="004A592F">
        <w:rPr>
          <w:vertAlign w:val="superscript"/>
        </w:rPr>
        <w:t>2</w:t>
      </w:r>
      <w:r w:rsidR="008961F3" w:rsidRPr="004A592F">
        <w:t xml:space="preserve">National </w:t>
      </w:r>
      <w:r w:rsidR="008961F3">
        <w:t>T</w:t>
      </w:r>
      <w:r w:rsidR="008961F3" w:rsidRPr="004A592F">
        <w:t xml:space="preserve">echnical </w:t>
      </w:r>
      <w:r w:rsidR="008961F3">
        <w:t>U</w:t>
      </w:r>
      <w:r w:rsidR="008961F3" w:rsidRPr="004A592F">
        <w:t xml:space="preserve">niversity of </w:t>
      </w:r>
      <w:proofErr w:type="spellStart"/>
      <w:r w:rsidR="008961F3" w:rsidRPr="004A592F">
        <w:t>Ukraine</w:t>
      </w:r>
      <w:proofErr w:type="spellEnd"/>
      <w:r w:rsidR="008961F3" w:rsidRPr="004A592F">
        <w:t xml:space="preserve"> "Igor </w:t>
      </w:r>
      <w:proofErr w:type="spellStart"/>
      <w:r w:rsidR="008961F3" w:rsidRPr="004A592F">
        <w:t>Sikorsky</w:t>
      </w:r>
      <w:proofErr w:type="spellEnd"/>
      <w:r w:rsidR="008961F3" w:rsidRPr="004A592F">
        <w:t xml:space="preserve"> </w:t>
      </w:r>
      <w:proofErr w:type="spellStart"/>
      <w:r w:rsidR="008961F3" w:rsidRPr="004A592F">
        <w:t>Kyiv</w:t>
      </w:r>
      <w:proofErr w:type="spellEnd"/>
      <w:r w:rsidR="008961F3" w:rsidRPr="004A592F">
        <w:t xml:space="preserve"> </w:t>
      </w:r>
      <w:proofErr w:type="spellStart"/>
      <w:r w:rsidR="008961F3" w:rsidRPr="004A592F">
        <w:t>Polytechnic</w:t>
      </w:r>
      <w:proofErr w:type="spellEnd"/>
      <w:r w:rsidR="008961F3" w:rsidRPr="004A592F">
        <w:t xml:space="preserve"> </w:t>
      </w:r>
      <w:proofErr w:type="spellStart"/>
      <w:r w:rsidR="008961F3" w:rsidRPr="004A592F">
        <w:t>Institute</w:t>
      </w:r>
      <w:proofErr w:type="spellEnd"/>
      <w:r w:rsidR="008961F3" w:rsidRPr="004A592F">
        <w:t xml:space="preserve">", </w:t>
      </w:r>
      <w:hyperlink r:id="rId10" w:history="1">
        <w:r w:rsidR="008961F3" w:rsidRPr="004A592F">
          <w:t>Educational and Research Institute of Nuclear and Heat Power Engineering</w:t>
        </w:r>
      </w:hyperlink>
      <w:r w:rsidR="008961F3" w:rsidRPr="004A592F">
        <w:rPr>
          <w:shd w:val="clear" w:color="auto" w:fill="FFFFFF"/>
        </w:rPr>
        <w:t xml:space="preserve">, </w:t>
      </w:r>
      <w:proofErr w:type="spellStart"/>
      <w:r w:rsidR="008961F3" w:rsidRPr="004A592F">
        <w:t>Ukraine</w:t>
      </w:r>
      <w:proofErr w:type="spellEnd"/>
      <w:r w:rsidR="008961F3" w:rsidRPr="004A592F">
        <w:t>,</w:t>
      </w:r>
      <w:r w:rsidR="008961F3">
        <w:br/>
      </w:r>
      <w:proofErr w:type="spellStart"/>
      <w:r w:rsidRPr="004A592F">
        <w:t>Institute</w:t>
      </w:r>
      <w:proofErr w:type="spellEnd"/>
      <w:r w:rsidRPr="004A592F">
        <w:t xml:space="preserve"> of General Energy </w:t>
      </w:r>
      <w:r w:rsidRPr="004A592F">
        <w:rPr>
          <w:bCs/>
          <w:shd w:val="clear" w:color="auto" w:fill="FFFFFF"/>
        </w:rPr>
        <w:t xml:space="preserve">of NAS of </w:t>
      </w:r>
      <w:proofErr w:type="spellStart"/>
      <w:r w:rsidRPr="004A592F">
        <w:rPr>
          <w:bCs/>
          <w:shd w:val="clear" w:color="auto" w:fill="FFFFFF"/>
        </w:rPr>
        <w:t>Ukraine</w:t>
      </w:r>
      <w:proofErr w:type="spellEnd"/>
      <w:r w:rsidR="00B75D1C">
        <w:rPr>
          <w:bCs/>
          <w:shd w:val="clear" w:color="auto" w:fill="FFFFFF"/>
        </w:rPr>
        <w:br/>
      </w:r>
      <w:r w:rsidR="00B75D1C" w:rsidRPr="00116999">
        <w:rPr>
          <w:rFonts w:eastAsia="Times New Roman"/>
          <w:color w:val="000000"/>
          <w:lang w:eastAsia="uk-UA"/>
        </w:rPr>
        <w:t>https://orcid.org/</w:t>
      </w:r>
      <w:r w:rsidR="00B75D1C" w:rsidRPr="00116999">
        <w:rPr>
          <w:shd w:val="clear" w:color="auto" w:fill="FFFFFF"/>
        </w:rPr>
        <w:t>0000</w:t>
      </w:r>
      <w:r w:rsidR="00B75D1C" w:rsidRPr="004A592F">
        <w:rPr>
          <w:shd w:val="clear" w:color="auto" w:fill="FFFFFF"/>
        </w:rPr>
        <w:t>-0002-6640-103X</w:t>
      </w:r>
    </w:p>
    <w:p w14:paraId="71226185" w14:textId="44D6DD1F" w:rsidR="008961F3" w:rsidRPr="004A592F" w:rsidRDefault="008961F3" w:rsidP="00B75D1C">
      <w:pPr>
        <w:pStyle w:val="Rafiliacja"/>
      </w:pPr>
      <w:r w:rsidRPr="004A592F">
        <w:rPr>
          <w:rFonts w:eastAsia="Times New Roman"/>
          <w:vertAlign w:val="superscript"/>
        </w:rPr>
        <w:t>3</w:t>
      </w:r>
      <w:r w:rsidRPr="004A592F">
        <w:t xml:space="preserve">National </w:t>
      </w:r>
      <w:r>
        <w:t>T</w:t>
      </w:r>
      <w:r w:rsidRPr="004A592F">
        <w:t xml:space="preserve">echnical </w:t>
      </w:r>
      <w:r>
        <w:t>U</w:t>
      </w:r>
      <w:r w:rsidRPr="004A592F">
        <w:t xml:space="preserve">niversity of </w:t>
      </w:r>
      <w:proofErr w:type="spellStart"/>
      <w:r w:rsidRPr="004A592F">
        <w:t>Ukraine</w:t>
      </w:r>
      <w:proofErr w:type="spellEnd"/>
      <w:r w:rsidRPr="004A592F">
        <w:t xml:space="preserve"> "Igor </w:t>
      </w:r>
      <w:proofErr w:type="spellStart"/>
      <w:r w:rsidRPr="004A592F">
        <w:t>Sikorsky</w:t>
      </w:r>
      <w:proofErr w:type="spellEnd"/>
      <w:r w:rsidRPr="004A592F">
        <w:t xml:space="preserve"> </w:t>
      </w:r>
      <w:proofErr w:type="spellStart"/>
      <w:r w:rsidRPr="004A592F">
        <w:t>Kyiv</w:t>
      </w:r>
      <w:proofErr w:type="spellEnd"/>
      <w:r w:rsidRPr="004A592F">
        <w:t xml:space="preserve"> </w:t>
      </w:r>
      <w:proofErr w:type="spellStart"/>
      <w:r w:rsidRPr="004A592F">
        <w:t>Polytechnic</w:t>
      </w:r>
      <w:proofErr w:type="spellEnd"/>
      <w:r w:rsidRPr="004A592F">
        <w:t xml:space="preserve"> </w:t>
      </w:r>
      <w:proofErr w:type="spellStart"/>
      <w:r w:rsidRPr="004A592F">
        <w:t>Institute</w:t>
      </w:r>
      <w:proofErr w:type="spellEnd"/>
      <w:r w:rsidRPr="004A592F">
        <w:t xml:space="preserve">", </w:t>
      </w:r>
      <w:hyperlink r:id="rId11" w:history="1">
        <w:r w:rsidRPr="004A592F">
          <w:t>Educational and Research Institute of Nuclear and Heat Power Engineering</w:t>
        </w:r>
      </w:hyperlink>
      <w:r w:rsidRPr="004A592F">
        <w:rPr>
          <w:shd w:val="clear" w:color="auto" w:fill="FFFFFF"/>
        </w:rPr>
        <w:t xml:space="preserve">, </w:t>
      </w:r>
      <w:proofErr w:type="spellStart"/>
      <w:r w:rsidRPr="004A592F">
        <w:t>Ukraine</w:t>
      </w:r>
      <w:proofErr w:type="spellEnd"/>
      <w:r w:rsidR="00B75D1C">
        <w:br/>
      </w:r>
      <w:r w:rsidR="00B75D1C" w:rsidRPr="00116999">
        <w:rPr>
          <w:rFonts w:eastAsia="Times New Roman"/>
          <w:color w:val="000000"/>
          <w:lang w:eastAsia="uk-UA"/>
        </w:rPr>
        <w:t>https://orcid.org/</w:t>
      </w:r>
      <w:r w:rsidR="00B75D1C" w:rsidRPr="004A592F">
        <w:rPr>
          <w:color w:val="000000" w:themeColor="text1"/>
        </w:rPr>
        <w:t>0000-0003-0597-6945</w:t>
      </w:r>
    </w:p>
    <w:p w14:paraId="00EE1295" w14:textId="2755B332" w:rsidR="00494CDF" w:rsidRPr="004A592F" w:rsidRDefault="008961F3" w:rsidP="00B75D1C">
      <w:pPr>
        <w:pStyle w:val="Rafiliacja"/>
        <w:rPr>
          <w:shd w:val="clear" w:color="auto" w:fill="FFFFFF"/>
        </w:rPr>
      </w:pPr>
      <w:r w:rsidRPr="004A592F">
        <w:rPr>
          <w:rFonts w:eastAsia="Times New Roman"/>
          <w:vertAlign w:val="superscript"/>
        </w:rPr>
        <w:t>4</w:t>
      </w:r>
      <w:r w:rsidRPr="004A592F">
        <w:t xml:space="preserve">National </w:t>
      </w:r>
      <w:r w:rsidR="00B75D1C">
        <w:t>T</w:t>
      </w:r>
      <w:r w:rsidRPr="004A592F">
        <w:t xml:space="preserve">echnical </w:t>
      </w:r>
      <w:r w:rsidR="00B75D1C">
        <w:t>U</w:t>
      </w:r>
      <w:r w:rsidRPr="004A592F">
        <w:t xml:space="preserve">niversity of </w:t>
      </w:r>
      <w:proofErr w:type="spellStart"/>
      <w:r w:rsidRPr="004A592F">
        <w:t>Ukraine</w:t>
      </w:r>
      <w:proofErr w:type="spellEnd"/>
      <w:r w:rsidRPr="004A592F">
        <w:t xml:space="preserve"> "Igor </w:t>
      </w:r>
      <w:proofErr w:type="spellStart"/>
      <w:r w:rsidRPr="004A592F">
        <w:t>Sikorsky</w:t>
      </w:r>
      <w:proofErr w:type="spellEnd"/>
      <w:r w:rsidRPr="004A592F">
        <w:t xml:space="preserve"> </w:t>
      </w:r>
      <w:proofErr w:type="spellStart"/>
      <w:r w:rsidRPr="004A592F">
        <w:t>Kyiv</w:t>
      </w:r>
      <w:proofErr w:type="spellEnd"/>
      <w:r w:rsidRPr="004A592F">
        <w:t xml:space="preserve"> </w:t>
      </w:r>
      <w:proofErr w:type="spellStart"/>
      <w:r w:rsidRPr="004A592F">
        <w:t>Polytechnic</w:t>
      </w:r>
      <w:proofErr w:type="spellEnd"/>
      <w:r w:rsidRPr="004A592F">
        <w:t xml:space="preserve"> </w:t>
      </w:r>
      <w:proofErr w:type="spellStart"/>
      <w:r w:rsidRPr="004A592F">
        <w:t>Institute</w:t>
      </w:r>
      <w:proofErr w:type="spellEnd"/>
      <w:r w:rsidRPr="004A592F">
        <w:t xml:space="preserve">", </w:t>
      </w:r>
      <w:hyperlink r:id="rId12" w:history="1">
        <w:r w:rsidRPr="00B75D1C">
          <w:t>Educational</w:t>
        </w:r>
        <w:r w:rsidRPr="004A592F">
          <w:t xml:space="preserve"> and Research Institute of Nuclear and Heat Power Engineering</w:t>
        </w:r>
      </w:hyperlink>
      <w:r w:rsidRPr="004A592F">
        <w:rPr>
          <w:shd w:val="clear" w:color="auto" w:fill="FFFFFF"/>
        </w:rPr>
        <w:t xml:space="preserve">, </w:t>
      </w:r>
      <w:proofErr w:type="spellStart"/>
      <w:r w:rsidRPr="004A592F">
        <w:t>Ukraine</w:t>
      </w:r>
      <w:proofErr w:type="spellEnd"/>
      <w:r w:rsidRPr="004A592F">
        <w:t>,</w:t>
      </w:r>
      <w:r w:rsidR="00B75D1C">
        <w:t xml:space="preserve"> </w:t>
      </w:r>
      <w:r w:rsidR="00B75D1C">
        <w:br/>
      </w:r>
      <w:r w:rsidR="00116999" w:rsidRPr="00116999">
        <w:rPr>
          <w:rFonts w:eastAsia="Times New Roman"/>
          <w:color w:val="000000"/>
          <w:lang w:eastAsia="uk-UA"/>
        </w:rPr>
        <w:t>https://orcid.org/</w:t>
      </w:r>
      <w:r w:rsidR="00494CDF" w:rsidRPr="004A592F">
        <w:rPr>
          <w:color w:val="000000" w:themeColor="text1"/>
        </w:rPr>
        <w:t>0000-0002-7059-8867</w:t>
      </w:r>
    </w:p>
    <w:p w14:paraId="484B9726" w14:textId="1274A445" w:rsidR="00610352" w:rsidRPr="00154B44" w:rsidRDefault="00494CDF" w:rsidP="00154B44">
      <w:pPr>
        <w:pStyle w:val="Rauco"/>
      </w:pPr>
      <w:r w:rsidRPr="00154B44">
        <w:rPr>
          <w:vertAlign w:val="superscript"/>
        </w:rPr>
        <w:t>*</w:t>
      </w:r>
      <w:r w:rsidRPr="00154B44">
        <w:t>corresponding author</w:t>
      </w:r>
      <w:r w:rsidR="004D5C85">
        <w:t>'</w:t>
      </w:r>
      <w:r w:rsidRPr="00154B44">
        <w:t xml:space="preserve">s e-mail: </w:t>
      </w:r>
      <w:r w:rsidR="004F3DA2" w:rsidRPr="00154B44">
        <w:t>biloys_inna@ukr.net</w:t>
      </w:r>
    </w:p>
    <w:p w14:paraId="6DA8F5F2" w14:textId="553C7714" w:rsidR="005963C8" w:rsidRPr="004A592F" w:rsidRDefault="0075566D" w:rsidP="008B602E">
      <w:pPr>
        <w:pStyle w:val="Rab1"/>
        <w:rPr>
          <w:shd w:val="clear" w:color="auto" w:fill="FFFFFF"/>
        </w:rPr>
      </w:pPr>
      <w:r w:rsidRPr="004A592F">
        <w:rPr>
          <w:b/>
          <w:bCs/>
        </w:rPr>
        <w:t>Abstract</w:t>
      </w:r>
      <w:r w:rsidR="00BE5ED7" w:rsidRPr="004A592F">
        <w:rPr>
          <w:b/>
          <w:bCs/>
        </w:rPr>
        <w:t xml:space="preserve">: </w:t>
      </w:r>
      <w:r w:rsidR="000E1E59" w:rsidRPr="004A592F">
        <w:t>According to the Energy Performance of Buildings Directive (EPBD)</w:t>
      </w:r>
      <w:r w:rsidRPr="004A592F">
        <w:t xml:space="preserve">, all new buildings must be constructed using technologies that will ensure almost zero energy consumption by the building through renewable energy sources and an energy-efficient thermal envelope. To assess the possibilities of reconstructing an existing building </w:t>
      </w:r>
      <w:r w:rsidR="004D5C85">
        <w:t>following</w:t>
      </w:r>
      <w:r w:rsidRPr="004A592F">
        <w:t xml:space="preserve"> the requirements of the EPBD in Ukraine, we </w:t>
      </w:r>
      <w:r w:rsidR="002A37DC" w:rsidRPr="004A592F">
        <w:t>have presented</w:t>
      </w:r>
      <w:r w:rsidR="00294B37" w:rsidRPr="004A592F">
        <w:t xml:space="preserve"> </w:t>
      </w:r>
      <w:r w:rsidRPr="004A592F">
        <w:t>possible ways to moderni</w:t>
      </w:r>
      <w:r w:rsidR="004D5C85">
        <w:t>s</w:t>
      </w:r>
      <w:r w:rsidRPr="004A592F">
        <w:t>e an office in Kyiv using renewable energy sources (biomass, heat pump) at different levels of thermal protection.</w:t>
      </w:r>
      <w:r w:rsidR="00953FFD" w:rsidRPr="004A592F">
        <w:rPr>
          <w:lang w:eastAsia="ru-RU"/>
        </w:rPr>
        <w:t xml:space="preserve"> </w:t>
      </w:r>
      <w:r w:rsidR="00D9070D" w:rsidRPr="004A592F">
        <w:rPr>
          <w:lang w:eastAsia="ru-RU"/>
        </w:rPr>
        <w:t xml:space="preserve">Based on </w:t>
      </w:r>
      <w:r w:rsidR="004D5C85">
        <w:rPr>
          <w:lang w:eastAsia="ru-RU"/>
        </w:rPr>
        <w:t>dynamic modelling results</w:t>
      </w:r>
      <w:r w:rsidR="00D9070D" w:rsidRPr="004A592F">
        <w:rPr>
          <w:lang w:eastAsia="ru-RU"/>
        </w:rPr>
        <w:t xml:space="preserve"> in the </w:t>
      </w:r>
      <w:proofErr w:type="spellStart"/>
      <w:r w:rsidR="00D9070D" w:rsidRPr="004A592F">
        <w:rPr>
          <w:lang w:eastAsia="ru-RU"/>
        </w:rPr>
        <w:t>DesignBuilder</w:t>
      </w:r>
      <w:proofErr w:type="spellEnd"/>
      <w:r w:rsidR="00D9070D" w:rsidRPr="004A592F">
        <w:rPr>
          <w:lang w:eastAsia="ru-RU"/>
        </w:rPr>
        <w:t xml:space="preserve"> software environment, the technical, environmental and economic aspects of building moderni</w:t>
      </w:r>
      <w:r w:rsidR="004D5C85">
        <w:rPr>
          <w:lang w:eastAsia="ru-RU"/>
        </w:rPr>
        <w:t>s</w:t>
      </w:r>
      <w:r w:rsidR="00D9070D" w:rsidRPr="004A592F">
        <w:rPr>
          <w:lang w:eastAsia="ru-RU"/>
        </w:rPr>
        <w:t xml:space="preserve">ation using </w:t>
      </w:r>
      <w:r w:rsidR="000E1E59" w:rsidRPr="004A592F">
        <w:rPr>
          <w:lang w:eastAsia="ru-RU"/>
        </w:rPr>
        <w:t>near-Zero Energy Buildings (</w:t>
      </w:r>
      <w:proofErr w:type="spellStart"/>
      <w:r w:rsidR="00D9070D" w:rsidRPr="004A592F">
        <w:rPr>
          <w:lang w:eastAsia="ru-RU"/>
        </w:rPr>
        <w:t>nZEB</w:t>
      </w:r>
      <w:proofErr w:type="spellEnd"/>
      <w:r w:rsidR="000E1E59" w:rsidRPr="004A592F">
        <w:rPr>
          <w:lang w:eastAsia="ru-RU"/>
        </w:rPr>
        <w:t>)</w:t>
      </w:r>
      <w:r w:rsidR="00D9070D" w:rsidRPr="004A592F">
        <w:rPr>
          <w:lang w:eastAsia="ru-RU"/>
        </w:rPr>
        <w:t xml:space="preserve"> technologies have been investigated. In particular, the authors have analy</w:t>
      </w:r>
      <w:r w:rsidR="004D5C85">
        <w:rPr>
          <w:lang w:eastAsia="ru-RU"/>
        </w:rPr>
        <w:t>s</w:t>
      </w:r>
      <w:r w:rsidR="00D9070D" w:rsidRPr="004A592F">
        <w:rPr>
          <w:lang w:eastAsia="ru-RU"/>
        </w:rPr>
        <w:t xml:space="preserve">ed the possibilities of using different modes of heat pump operation to provide heat to a building of different levels of thermal protection in the </w:t>
      </w:r>
      <w:proofErr w:type="spellStart"/>
      <w:r w:rsidR="00D9070D" w:rsidRPr="004A592F">
        <w:rPr>
          <w:lang w:eastAsia="ru-RU"/>
        </w:rPr>
        <w:t>GeoTSOL</w:t>
      </w:r>
      <w:proofErr w:type="spellEnd"/>
      <w:r w:rsidR="00D9070D" w:rsidRPr="004A592F">
        <w:rPr>
          <w:lang w:eastAsia="ru-RU"/>
        </w:rPr>
        <w:t xml:space="preserve"> software environment. The results obtained can be used to assess the benefits of improving the energy efficiency of a building using different types of renewable energy sources.</w:t>
      </w:r>
    </w:p>
    <w:p w14:paraId="05F026D9" w14:textId="4D051BD2" w:rsidR="002352F2" w:rsidRPr="004A592F" w:rsidRDefault="00D9070D" w:rsidP="008B602E">
      <w:pPr>
        <w:pStyle w:val="Rab2"/>
      </w:pPr>
      <w:r w:rsidRPr="004A592F">
        <w:rPr>
          <w:rFonts w:eastAsia="Times New Roman"/>
          <w:b/>
        </w:rPr>
        <w:t>Keywords</w:t>
      </w:r>
      <w:r w:rsidR="009D2803" w:rsidRPr="004A592F">
        <w:rPr>
          <w:b/>
          <w:i/>
          <w:iCs/>
        </w:rPr>
        <w:t>:</w:t>
      </w:r>
      <w:r w:rsidR="000412D2" w:rsidRPr="00154B44">
        <w:rPr>
          <w:bCs/>
          <w:i/>
          <w:iCs/>
        </w:rPr>
        <w:t xml:space="preserve"> </w:t>
      </w:r>
      <w:r w:rsidRPr="004A592F">
        <w:t>energy efficiency, heat supply, energy source, thermal protection, energy demand</w:t>
      </w:r>
    </w:p>
    <w:p w14:paraId="436FDD29" w14:textId="77777777" w:rsidR="00EE6549" w:rsidRPr="004A592F" w:rsidRDefault="0085033D" w:rsidP="00154B44">
      <w:pPr>
        <w:pStyle w:val="Rn1"/>
      </w:pPr>
      <w:r w:rsidRPr="004A592F">
        <w:t xml:space="preserve">1. </w:t>
      </w:r>
      <w:proofErr w:type="spellStart"/>
      <w:r w:rsidR="00D9070D" w:rsidRPr="004A592F">
        <w:t>Introduction</w:t>
      </w:r>
      <w:proofErr w:type="spellEnd"/>
    </w:p>
    <w:p w14:paraId="2B9937C6" w14:textId="4A71EED4" w:rsidR="00617517" w:rsidRPr="00563D9C" w:rsidRDefault="00617517" w:rsidP="00617517">
      <w:pPr>
        <w:spacing w:after="0" w:line="240" w:lineRule="auto"/>
        <w:ind w:firstLine="284"/>
        <w:jc w:val="both"/>
        <w:rPr>
          <w:rFonts w:ascii="Times New Roman" w:hAnsi="Times New Roman"/>
          <w:lang w:val="en-US"/>
        </w:rPr>
      </w:pPr>
      <w:r w:rsidRPr="00563D9C">
        <w:rPr>
          <w:rFonts w:ascii="Times New Roman" w:hAnsi="Times New Roman"/>
          <w:lang w:val="en-US"/>
        </w:rPr>
        <w:t xml:space="preserve">According to the </w:t>
      </w:r>
      <w:r w:rsidRPr="00563D9C">
        <w:rPr>
          <w:rFonts w:ascii="Times New Roman" w:hAnsi="Times New Roman"/>
        </w:rPr>
        <w:t>ІЕА</w:t>
      </w:r>
      <w:r w:rsidRPr="00563D9C">
        <w:rPr>
          <w:rFonts w:ascii="Times New Roman" w:hAnsi="Times New Roman"/>
          <w:lang w:val="en-US"/>
        </w:rPr>
        <w:t>, the construction sector is responsible for a significant share of global energy consumption (</w:t>
      </w:r>
      <w:r w:rsidRPr="00563D9C">
        <w:rPr>
          <w:rFonts w:ascii="Times New Roman" w:eastAsia="Times New Roman" w:hAnsi="Times New Roman"/>
          <w:lang w:val="en-US" w:eastAsia="ru-RU"/>
        </w:rPr>
        <w:t>Buildings – Topics – IEA)</w:t>
      </w:r>
      <w:r w:rsidRPr="00563D9C">
        <w:rPr>
          <w:rFonts w:ascii="Times New Roman" w:hAnsi="Times New Roman"/>
          <w:lang w:val="en-US"/>
        </w:rPr>
        <w:t>. In order to reduce energy consumption and increase consumer motivation for energy saving and energy efficiency, the Energy Performance of Buildings Directive</w:t>
      </w:r>
      <w:r w:rsidRPr="00563D9C">
        <w:rPr>
          <w:rFonts w:ascii="Times New Roman" w:hAnsi="Times New Roman"/>
        </w:rPr>
        <w:t xml:space="preserve"> (</w:t>
      </w:r>
      <w:r w:rsidRPr="00563D9C">
        <w:rPr>
          <w:rFonts w:ascii="Times New Roman" w:eastAsia="Times New Roman" w:hAnsi="Times New Roman"/>
          <w:lang w:val="en-US" w:eastAsia="ru-RU"/>
        </w:rPr>
        <w:t>Directive 2010/31/EU of the European Parliament and of the Council of 19 May 2010 – Energy Performance of Buildings Directive – EPBD</w:t>
      </w:r>
      <w:r w:rsidRPr="00563D9C">
        <w:rPr>
          <w:rFonts w:ascii="Times New Roman" w:eastAsia="Times New Roman" w:hAnsi="Times New Roman"/>
          <w:lang w:eastAsia="ru-RU"/>
        </w:rPr>
        <w:t>)</w:t>
      </w:r>
      <w:r w:rsidRPr="00563D9C">
        <w:rPr>
          <w:rFonts w:ascii="Times New Roman" w:hAnsi="Times New Roman"/>
          <w:lang w:val="en-US"/>
        </w:rPr>
        <w:t xml:space="preserve"> sets minimum requirements for the energy efficiency of buildings, aimed at increasing the share of energy</w:t>
      </w:r>
      <w:r w:rsidR="004D5C85">
        <w:rPr>
          <w:rFonts w:ascii="Times New Roman" w:hAnsi="Times New Roman"/>
          <w:lang w:val="en-US"/>
        </w:rPr>
        <w:t>-</w:t>
      </w:r>
      <w:r w:rsidRPr="00563D9C">
        <w:rPr>
          <w:rFonts w:ascii="Times New Roman" w:hAnsi="Times New Roman"/>
          <w:lang w:val="en-US"/>
        </w:rPr>
        <w:t xml:space="preserve">efficient buildings and promoting the use of renewable energy sources to meet the required energy demand. </w:t>
      </w:r>
      <w:r w:rsidRPr="00617517">
        <w:rPr>
          <w:rFonts w:ascii="Times New Roman" w:hAnsi="Times New Roman"/>
          <w:spacing w:val="-2"/>
          <w:lang w:val="en-US"/>
        </w:rPr>
        <w:t>The main principles governing the construction of buildings under the EPBD include:</w:t>
      </w:r>
    </w:p>
    <w:p w14:paraId="2FFD6067" w14:textId="621139A6" w:rsidR="00617517" w:rsidRPr="00563D9C" w:rsidRDefault="00617517" w:rsidP="00617517">
      <w:pPr>
        <w:numPr>
          <w:ilvl w:val="0"/>
          <w:numId w:val="19"/>
        </w:numPr>
        <w:tabs>
          <w:tab w:val="clear" w:pos="720"/>
        </w:tabs>
        <w:spacing w:after="0" w:line="240" w:lineRule="auto"/>
        <w:ind w:left="364"/>
        <w:jc w:val="both"/>
        <w:rPr>
          <w:rFonts w:ascii="Times New Roman" w:hAnsi="Times New Roman"/>
          <w:lang w:val="en-US"/>
        </w:rPr>
      </w:pPr>
      <w:r w:rsidRPr="00563D9C">
        <w:rPr>
          <w:rFonts w:ascii="Times New Roman" w:hAnsi="Times New Roman"/>
          <w:lang w:val="en-US"/>
        </w:rPr>
        <w:t xml:space="preserve">Energy efficiency of buildings. Energy efficiency standards require a reduction in energy consumption and greenhouse gas emissions. </w:t>
      </w:r>
      <w:r w:rsidR="004D5C85">
        <w:rPr>
          <w:rFonts w:ascii="Times New Roman" w:hAnsi="Times New Roman"/>
          <w:lang w:val="en-US"/>
        </w:rPr>
        <w:t>It</w:t>
      </w:r>
      <w:r w:rsidRPr="00563D9C">
        <w:rPr>
          <w:rFonts w:ascii="Times New Roman" w:hAnsi="Times New Roman"/>
          <w:lang w:val="en-US"/>
        </w:rPr>
        <w:t xml:space="preserve"> is achieved through </w:t>
      </w:r>
      <w:r w:rsidR="004D5C85">
        <w:rPr>
          <w:rFonts w:ascii="Times New Roman" w:hAnsi="Times New Roman"/>
          <w:lang w:val="en-US"/>
        </w:rPr>
        <w:t>building structure insulation,</w:t>
      </w:r>
      <w:r w:rsidRPr="00563D9C">
        <w:rPr>
          <w:rFonts w:ascii="Times New Roman" w:hAnsi="Times New Roman"/>
          <w:lang w:val="en-US"/>
        </w:rPr>
        <w:t xml:space="preserve"> highly efficient heating, ventilation and air conditioning systems, and energy-efficient materials and technologies.</w:t>
      </w:r>
    </w:p>
    <w:p w14:paraId="26680F1C" w14:textId="72DF04CD" w:rsidR="00617517" w:rsidRPr="00563D9C" w:rsidRDefault="00617517" w:rsidP="00617517">
      <w:pPr>
        <w:numPr>
          <w:ilvl w:val="0"/>
          <w:numId w:val="19"/>
        </w:numPr>
        <w:tabs>
          <w:tab w:val="clear" w:pos="720"/>
        </w:tabs>
        <w:spacing w:after="0" w:line="240" w:lineRule="auto"/>
        <w:ind w:left="364"/>
        <w:jc w:val="both"/>
        <w:rPr>
          <w:rFonts w:ascii="Times New Roman" w:hAnsi="Times New Roman"/>
          <w:lang w:val="en-US"/>
        </w:rPr>
      </w:pPr>
      <w:r w:rsidRPr="00563D9C">
        <w:rPr>
          <w:rFonts w:ascii="Times New Roman" w:hAnsi="Times New Roman"/>
          <w:lang w:val="en-US"/>
        </w:rPr>
        <w:t xml:space="preserve">Use of renewable energy sources. The EPBD promotes </w:t>
      </w:r>
      <w:r w:rsidR="004D5C85">
        <w:rPr>
          <w:rFonts w:ascii="Times New Roman" w:hAnsi="Times New Roman"/>
          <w:lang w:val="en-US"/>
        </w:rPr>
        <w:t>using</w:t>
      </w:r>
      <w:r w:rsidRPr="00563D9C">
        <w:rPr>
          <w:rFonts w:ascii="Times New Roman" w:hAnsi="Times New Roman"/>
          <w:lang w:val="en-US"/>
        </w:rPr>
        <w:t xml:space="preserve"> renewable energy sources such as solar, wind or geothermal. </w:t>
      </w:r>
      <w:r w:rsidR="004D5C85">
        <w:rPr>
          <w:rFonts w:ascii="Times New Roman" w:hAnsi="Times New Roman"/>
          <w:lang w:val="en-US"/>
        </w:rPr>
        <w:t>It</w:t>
      </w:r>
      <w:r w:rsidRPr="00563D9C">
        <w:rPr>
          <w:rFonts w:ascii="Times New Roman" w:hAnsi="Times New Roman"/>
          <w:lang w:val="en-US"/>
        </w:rPr>
        <w:t xml:space="preserve"> may include the installation of solar panels, heat pumps or other systems to generate electricity or heat.</w:t>
      </w:r>
    </w:p>
    <w:p w14:paraId="011867CA" w14:textId="77777777" w:rsidR="00617517" w:rsidRPr="00563D9C" w:rsidRDefault="00617517" w:rsidP="00617517">
      <w:pPr>
        <w:numPr>
          <w:ilvl w:val="0"/>
          <w:numId w:val="19"/>
        </w:numPr>
        <w:tabs>
          <w:tab w:val="clear" w:pos="720"/>
        </w:tabs>
        <w:spacing w:after="0" w:line="240" w:lineRule="auto"/>
        <w:ind w:left="364"/>
        <w:jc w:val="both"/>
        <w:rPr>
          <w:rFonts w:ascii="Times New Roman" w:hAnsi="Times New Roman"/>
          <w:lang w:val="en-US"/>
        </w:rPr>
      </w:pPr>
      <w:r w:rsidRPr="00563D9C">
        <w:rPr>
          <w:rFonts w:ascii="Times New Roman" w:hAnsi="Times New Roman"/>
          <w:lang w:val="en-US"/>
        </w:rPr>
        <w:t>Monitoring and certification. The EPBD requires the monitoring of energy consumption in buildings and the implementation of energy efficiency certification systems that allow for the assessment and comparison of the energy efficiency of buildings.</w:t>
      </w:r>
    </w:p>
    <w:p w14:paraId="20524FDB" w14:textId="77777777" w:rsidR="00617517" w:rsidRPr="00563D9C" w:rsidRDefault="00617517" w:rsidP="00617517">
      <w:pPr>
        <w:numPr>
          <w:ilvl w:val="0"/>
          <w:numId w:val="19"/>
        </w:numPr>
        <w:tabs>
          <w:tab w:val="clear" w:pos="720"/>
        </w:tabs>
        <w:spacing w:after="0" w:line="240" w:lineRule="auto"/>
        <w:ind w:left="364"/>
        <w:jc w:val="both"/>
        <w:rPr>
          <w:rFonts w:ascii="Times New Roman" w:hAnsi="Times New Roman"/>
          <w:lang w:val="en-US"/>
        </w:rPr>
      </w:pPr>
      <w:r w:rsidRPr="00563D9C">
        <w:rPr>
          <w:rFonts w:ascii="Times New Roman" w:hAnsi="Times New Roman"/>
          <w:lang w:val="en-US"/>
        </w:rPr>
        <w:t>Regulatory requirements. The EPBD includes regulatory requirements that must be implemented at the national level. These requirements may relate to minimum energy efficiency standards for new buildings, mandatory retrofitting of existing buildings, and information and education for building owners.</w:t>
      </w:r>
    </w:p>
    <w:p w14:paraId="4CB86547" w14:textId="118F171F" w:rsidR="00617517" w:rsidRPr="00617517" w:rsidRDefault="00617517" w:rsidP="00617517">
      <w:pPr>
        <w:spacing w:after="0" w:line="240" w:lineRule="auto"/>
        <w:ind w:firstLine="284"/>
        <w:jc w:val="both"/>
        <w:rPr>
          <w:rFonts w:ascii="Times New Roman" w:hAnsi="Times New Roman"/>
          <w:lang w:val="en-US"/>
        </w:rPr>
      </w:pPr>
      <w:r w:rsidRPr="00617517">
        <w:rPr>
          <w:rFonts w:ascii="Times New Roman" w:hAnsi="Times New Roman"/>
          <w:lang w:val="en-US"/>
        </w:rPr>
        <w:lastRenderedPageBreak/>
        <w:t xml:space="preserve">Recovery of the construction sector in Ukraine is an important task for economic development and </w:t>
      </w:r>
      <w:r w:rsidR="004D5C85">
        <w:rPr>
          <w:rFonts w:ascii="Times New Roman" w:hAnsi="Times New Roman"/>
          <w:lang w:val="en-US"/>
        </w:rPr>
        <w:t>improving</w:t>
      </w:r>
      <w:r w:rsidRPr="00617517">
        <w:rPr>
          <w:rFonts w:ascii="Times New Roman" w:hAnsi="Times New Roman"/>
          <w:lang w:val="en-US"/>
        </w:rPr>
        <w:t xml:space="preserve"> living conditions. Following the difficult economic and social changes that have taken place in the country in recent years, the construction industry has received support and incentives for development and </w:t>
      </w:r>
      <w:proofErr w:type="spellStart"/>
      <w:r w:rsidRPr="00617517">
        <w:rPr>
          <w:rFonts w:ascii="Times New Roman" w:hAnsi="Times New Roman"/>
          <w:lang w:val="en-US"/>
        </w:rPr>
        <w:t>moderni</w:t>
      </w:r>
      <w:r w:rsidR="004D5C85">
        <w:rPr>
          <w:rFonts w:ascii="Times New Roman" w:hAnsi="Times New Roman"/>
          <w:lang w:val="en-US"/>
        </w:rPr>
        <w:t>s</w:t>
      </w:r>
      <w:r w:rsidRPr="00617517">
        <w:rPr>
          <w:rFonts w:ascii="Times New Roman" w:hAnsi="Times New Roman"/>
          <w:lang w:val="en-US"/>
        </w:rPr>
        <w:t>ation</w:t>
      </w:r>
      <w:proofErr w:type="spellEnd"/>
      <w:r w:rsidRPr="00617517">
        <w:rPr>
          <w:rFonts w:ascii="Times New Roman" w:hAnsi="Times New Roman"/>
          <w:lang w:val="en-US"/>
        </w:rPr>
        <w:t xml:space="preserve">. In particular, the Ukrainian government actively supports measures to improve energy efficiency in construction. Such measures include promoting </w:t>
      </w:r>
      <w:r w:rsidR="004D5C85">
        <w:rPr>
          <w:rFonts w:ascii="Times New Roman" w:hAnsi="Times New Roman"/>
          <w:lang w:val="en-US"/>
        </w:rPr>
        <w:t xml:space="preserve">the use of </w:t>
      </w:r>
      <w:r w:rsidRPr="00617517">
        <w:rPr>
          <w:rFonts w:ascii="Times New Roman" w:hAnsi="Times New Roman"/>
          <w:lang w:val="en-US"/>
        </w:rPr>
        <w:t xml:space="preserve">energy-efficient materials and technologies, integrating renewable energy sources, and introducing energy-efficient standards in building codes, including </w:t>
      </w:r>
      <w:r w:rsidR="004D5C85">
        <w:rPr>
          <w:rFonts w:ascii="Times New Roman" w:hAnsi="Times New Roman"/>
          <w:lang w:val="en-US"/>
        </w:rPr>
        <w:t>integrating</w:t>
      </w:r>
      <w:r w:rsidRPr="00617517">
        <w:rPr>
          <w:rFonts w:ascii="Times New Roman" w:hAnsi="Times New Roman"/>
          <w:lang w:val="en-US"/>
        </w:rPr>
        <w:t xml:space="preserve"> European norms into the construction sector. </w:t>
      </w:r>
      <w:r w:rsidRPr="00471B77">
        <w:rPr>
          <w:rFonts w:ascii="Times New Roman" w:hAnsi="Times New Roman"/>
          <w:spacing w:val="-2"/>
          <w:lang w:val="en-US"/>
        </w:rPr>
        <w:t>For example, in line with the latest requirements for energy efficiency in buildings, the government has decided to develop zero-energy technologies.</w:t>
      </w:r>
    </w:p>
    <w:p w14:paraId="59122890" w14:textId="58F9C4A2" w:rsidR="00617517" w:rsidRPr="00617517" w:rsidRDefault="00617517" w:rsidP="00617517">
      <w:pPr>
        <w:spacing w:after="0" w:line="240" w:lineRule="auto"/>
        <w:ind w:firstLine="284"/>
        <w:jc w:val="both"/>
        <w:rPr>
          <w:rFonts w:ascii="Times New Roman" w:hAnsi="Times New Roman"/>
          <w:lang w:val="en-US"/>
        </w:rPr>
      </w:pPr>
      <w:r w:rsidRPr="00617517">
        <w:rPr>
          <w:rFonts w:ascii="Times New Roman" w:hAnsi="Times New Roman"/>
          <w:lang w:val="en-US"/>
        </w:rPr>
        <w:t xml:space="preserve">There are several reasons for promoting </w:t>
      </w:r>
      <w:proofErr w:type="spellStart"/>
      <w:r w:rsidRPr="00617517">
        <w:rPr>
          <w:rFonts w:ascii="Times New Roman" w:hAnsi="Times New Roman"/>
          <w:lang w:val="en-US"/>
        </w:rPr>
        <w:t>nZEB</w:t>
      </w:r>
      <w:proofErr w:type="spellEnd"/>
      <w:r w:rsidRPr="00617517">
        <w:rPr>
          <w:rFonts w:ascii="Times New Roman" w:hAnsi="Times New Roman"/>
          <w:lang w:val="en-US"/>
        </w:rPr>
        <w:t xml:space="preserve"> technologies, which a</w:t>
      </w:r>
      <w:r w:rsidR="004D5C85">
        <w:rPr>
          <w:rFonts w:ascii="Times New Roman" w:hAnsi="Times New Roman"/>
          <w:lang w:val="en-US"/>
        </w:rPr>
        <w:t>im to increase energy efficiency, ensure environmental sustainability, reduce energy costs and improve</w:t>
      </w:r>
      <w:r w:rsidRPr="00617517">
        <w:rPr>
          <w:rFonts w:ascii="Times New Roman" w:hAnsi="Times New Roman"/>
          <w:lang w:val="en-US"/>
        </w:rPr>
        <w:t xml:space="preserve"> the quality of life. The use of </w:t>
      </w:r>
      <w:proofErr w:type="spellStart"/>
      <w:r w:rsidRPr="00617517">
        <w:rPr>
          <w:rFonts w:ascii="Times New Roman" w:hAnsi="Times New Roman"/>
          <w:lang w:val="en-US"/>
        </w:rPr>
        <w:t>nZEB</w:t>
      </w:r>
      <w:proofErr w:type="spellEnd"/>
      <w:r w:rsidRPr="00617517">
        <w:rPr>
          <w:rFonts w:ascii="Times New Roman" w:hAnsi="Times New Roman"/>
          <w:lang w:val="en-US"/>
        </w:rPr>
        <w:t xml:space="preserve"> technologies contributes to a significant reduction in energy consumption in buildings, which helps </w:t>
      </w:r>
      <w:r w:rsidR="004D5C85">
        <w:rPr>
          <w:rFonts w:ascii="Times New Roman" w:hAnsi="Times New Roman"/>
          <w:lang w:val="en-US"/>
        </w:rPr>
        <w:t>reduce the country's energy dependence and</w:t>
      </w:r>
      <w:r w:rsidRPr="00617517">
        <w:rPr>
          <w:rFonts w:ascii="Times New Roman" w:hAnsi="Times New Roman"/>
          <w:lang w:val="en-US"/>
        </w:rPr>
        <w:t xml:space="preserve"> the cost of heating, cooling and general operation of buildings. At the same time, </w:t>
      </w:r>
      <w:proofErr w:type="spellStart"/>
      <w:r w:rsidRPr="00617517">
        <w:rPr>
          <w:rFonts w:ascii="Times New Roman" w:hAnsi="Times New Roman"/>
          <w:lang w:val="en-US"/>
        </w:rPr>
        <w:t>nZEB</w:t>
      </w:r>
      <w:proofErr w:type="spellEnd"/>
      <w:r w:rsidRPr="00617517">
        <w:rPr>
          <w:rFonts w:ascii="Times New Roman" w:hAnsi="Times New Roman"/>
          <w:lang w:val="en-US"/>
        </w:rPr>
        <w:t xml:space="preserve"> technologies help to reduce greenhouse gas emissions and other harmful substances into the environment, which contributes to the conservation of natural resources and reduces the negative impact of the construction industry on the climate and the environment. The social benefit of </w:t>
      </w:r>
      <w:proofErr w:type="spellStart"/>
      <w:r w:rsidRPr="00617517">
        <w:rPr>
          <w:rFonts w:ascii="Times New Roman" w:hAnsi="Times New Roman"/>
          <w:lang w:val="en-US"/>
        </w:rPr>
        <w:t>nZEB's</w:t>
      </w:r>
      <w:proofErr w:type="spellEnd"/>
      <w:r w:rsidRPr="00617517">
        <w:rPr>
          <w:rFonts w:ascii="Times New Roman" w:hAnsi="Times New Roman"/>
          <w:lang w:val="en-US"/>
        </w:rPr>
        <w:t xml:space="preserve"> buildings is that they provide comfortable living and working conditions. </w:t>
      </w:r>
      <w:r w:rsidR="004D5C85">
        <w:rPr>
          <w:rFonts w:ascii="Times New Roman" w:hAnsi="Times New Roman"/>
          <w:lang w:val="en-US"/>
        </w:rPr>
        <w:t>Using</w:t>
      </w:r>
      <w:r w:rsidRPr="00617517">
        <w:rPr>
          <w:rFonts w:ascii="Times New Roman" w:hAnsi="Times New Roman"/>
          <w:lang w:val="en-US"/>
        </w:rPr>
        <w:t xml:space="preserve"> energy-efficient insulation materials, ventilation systems</w:t>
      </w:r>
      <w:r w:rsidR="004D5C85">
        <w:rPr>
          <w:rFonts w:ascii="Times New Roman" w:hAnsi="Times New Roman"/>
          <w:lang w:val="en-US"/>
        </w:rPr>
        <w:t>,</w:t>
      </w:r>
      <w:r w:rsidRPr="00617517">
        <w:rPr>
          <w:rFonts w:ascii="Times New Roman" w:hAnsi="Times New Roman"/>
          <w:lang w:val="en-US"/>
        </w:rPr>
        <w:t xml:space="preserve"> and indoor climate control technologies ensures a stable temperature, reduces noise and improves indoor air quality. The introduction of </w:t>
      </w:r>
      <w:proofErr w:type="spellStart"/>
      <w:r w:rsidRPr="00617517">
        <w:rPr>
          <w:rFonts w:ascii="Times New Roman" w:hAnsi="Times New Roman"/>
          <w:lang w:val="en-US"/>
        </w:rPr>
        <w:t>nZEB</w:t>
      </w:r>
      <w:proofErr w:type="spellEnd"/>
      <w:r w:rsidRPr="00617517">
        <w:rPr>
          <w:rFonts w:ascii="Times New Roman" w:hAnsi="Times New Roman"/>
          <w:lang w:val="en-US"/>
        </w:rPr>
        <w:t xml:space="preserve"> technologies stimulates the development of innovative solutions in the construction industry, including </w:t>
      </w:r>
      <w:r w:rsidR="004D5C85">
        <w:rPr>
          <w:rFonts w:ascii="Times New Roman" w:hAnsi="Times New Roman"/>
          <w:lang w:val="en-US"/>
        </w:rPr>
        <w:t>using</w:t>
      </w:r>
      <w:r w:rsidRPr="00617517">
        <w:rPr>
          <w:rFonts w:ascii="Times New Roman" w:hAnsi="Times New Roman"/>
          <w:lang w:val="en-US"/>
        </w:rPr>
        <w:t xml:space="preserve"> renewable energy sources, modern energy management systems and </w:t>
      </w:r>
      <w:r w:rsidR="004D5C85">
        <w:rPr>
          <w:rFonts w:ascii="Times New Roman" w:hAnsi="Times New Roman"/>
          <w:lang w:val="en-US"/>
        </w:rPr>
        <w:t>construction automa</w:t>
      </w:r>
      <w:r w:rsidRPr="00617517">
        <w:rPr>
          <w:rFonts w:ascii="Times New Roman" w:hAnsi="Times New Roman"/>
          <w:lang w:val="en-US"/>
        </w:rPr>
        <w:t>tion.</w:t>
      </w:r>
    </w:p>
    <w:p w14:paraId="28AAF900" w14:textId="755F0C4E" w:rsidR="00617517" w:rsidRPr="00617517" w:rsidRDefault="00617517" w:rsidP="00617517">
      <w:pPr>
        <w:spacing w:after="0" w:line="240" w:lineRule="auto"/>
        <w:ind w:firstLine="284"/>
        <w:jc w:val="both"/>
        <w:rPr>
          <w:rFonts w:ascii="Times New Roman" w:hAnsi="Times New Roman"/>
          <w:lang w:val="en-US"/>
        </w:rPr>
      </w:pPr>
      <w:r w:rsidRPr="00617517">
        <w:rPr>
          <w:rFonts w:ascii="Times New Roman" w:hAnsi="Times New Roman"/>
          <w:lang w:val="en-US"/>
        </w:rPr>
        <w:t xml:space="preserve">According to the International Energy Agency, 26.9% of total global emissions are associated with the operation of buildings, and </w:t>
      </w:r>
      <w:r w:rsidR="004D5C85">
        <w:rPr>
          <w:rFonts w:ascii="Times New Roman" w:hAnsi="Times New Roman"/>
          <w:lang w:val="en-US"/>
        </w:rPr>
        <w:t>the construction sector generates 13% of global emissions</w:t>
      </w:r>
      <w:r w:rsidRPr="00617517">
        <w:rPr>
          <w:rFonts w:ascii="Times New Roman" w:hAnsi="Times New Roman"/>
          <w:lang w:val="en-US"/>
        </w:rPr>
        <w:t xml:space="preserve"> during the construction phase. In total, </w:t>
      </w:r>
      <w:r w:rsidR="004D5C85">
        <w:rPr>
          <w:rFonts w:ascii="Times New Roman" w:hAnsi="Times New Roman"/>
          <w:lang w:val="en-US"/>
        </w:rPr>
        <w:t>the construction sector accounted for 39.9% of global emissions in 2021</w:t>
      </w:r>
      <w:r w:rsidRPr="00617517">
        <w:rPr>
          <w:rFonts w:ascii="Times New Roman" w:hAnsi="Times New Roman"/>
          <w:lang w:val="en-US"/>
        </w:rPr>
        <w:t xml:space="preserve">. </w:t>
      </w:r>
      <w:proofErr w:type="spellStart"/>
      <w:r w:rsidRPr="00617517">
        <w:rPr>
          <w:rFonts w:ascii="Times New Roman" w:hAnsi="Times New Roman"/>
          <w:lang w:val="en-US"/>
        </w:rPr>
        <w:t>nZEB</w:t>
      </w:r>
      <w:proofErr w:type="spellEnd"/>
      <w:r w:rsidRPr="00617517">
        <w:rPr>
          <w:rFonts w:ascii="Times New Roman" w:hAnsi="Times New Roman"/>
          <w:lang w:val="en-US"/>
        </w:rPr>
        <w:t xml:space="preserve"> technologies are an integral part of achieving climate-neutral construction, and the scaling up of </w:t>
      </w:r>
      <w:proofErr w:type="spellStart"/>
      <w:r w:rsidRPr="00617517">
        <w:rPr>
          <w:rFonts w:ascii="Times New Roman" w:hAnsi="Times New Roman"/>
          <w:lang w:val="en-US"/>
        </w:rPr>
        <w:t>nZEB</w:t>
      </w:r>
      <w:proofErr w:type="spellEnd"/>
      <w:r w:rsidRPr="00617517">
        <w:rPr>
          <w:rFonts w:ascii="Times New Roman" w:hAnsi="Times New Roman"/>
          <w:lang w:val="en-US"/>
        </w:rPr>
        <w:t xml:space="preserve"> contributes to the development of a low-carbon construction sector </w:t>
      </w:r>
      <w:r w:rsidR="004D5C85">
        <w:rPr>
          <w:rFonts w:ascii="Times New Roman" w:hAnsi="Times New Roman"/>
          <w:lang w:val="en-US"/>
        </w:rPr>
        <w:t>from</w:t>
      </w:r>
      <w:r w:rsidRPr="00617517">
        <w:rPr>
          <w:rFonts w:ascii="Times New Roman" w:hAnsi="Times New Roman"/>
          <w:lang w:val="en-US"/>
        </w:rPr>
        <w:t xml:space="preserve"> a global perspective.</w:t>
      </w:r>
    </w:p>
    <w:p w14:paraId="421F42ED" w14:textId="5E7A39DC" w:rsidR="00617517" w:rsidRPr="00617517" w:rsidRDefault="00617517" w:rsidP="00617517">
      <w:pPr>
        <w:spacing w:after="0" w:line="240" w:lineRule="auto"/>
        <w:ind w:firstLine="284"/>
        <w:jc w:val="both"/>
        <w:rPr>
          <w:rFonts w:ascii="Times New Roman" w:hAnsi="Times New Roman"/>
          <w:lang w:val="en-US"/>
        </w:rPr>
      </w:pPr>
      <w:r w:rsidRPr="00617517">
        <w:rPr>
          <w:rFonts w:ascii="Times New Roman" w:hAnsi="Times New Roman"/>
          <w:lang w:val="en-US"/>
        </w:rPr>
        <w:t xml:space="preserve">The </w:t>
      </w:r>
      <w:r w:rsidR="004D5C85">
        <w:rPr>
          <w:rFonts w:ascii="Times New Roman" w:hAnsi="Times New Roman"/>
          <w:lang w:val="en-US"/>
        </w:rPr>
        <w:t>paper aim</w:t>
      </w:r>
      <w:r w:rsidRPr="00617517">
        <w:rPr>
          <w:rFonts w:ascii="Times New Roman" w:hAnsi="Times New Roman"/>
          <w:lang w:val="en-US"/>
        </w:rPr>
        <w:t xml:space="preserve">s to assess the ways of </w:t>
      </w:r>
      <w:proofErr w:type="spellStart"/>
      <w:r w:rsidRPr="00617517">
        <w:rPr>
          <w:rFonts w:ascii="Times New Roman" w:hAnsi="Times New Roman"/>
          <w:lang w:val="en-US"/>
        </w:rPr>
        <w:t>moderni</w:t>
      </w:r>
      <w:r w:rsidR="004D5C85">
        <w:rPr>
          <w:rFonts w:ascii="Times New Roman" w:hAnsi="Times New Roman"/>
          <w:lang w:val="en-US"/>
        </w:rPr>
        <w:t>s</w:t>
      </w:r>
      <w:r w:rsidRPr="00617517">
        <w:rPr>
          <w:rFonts w:ascii="Times New Roman" w:hAnsi="Times New Roman"/>
          <w:lang w:val="en-US"/>
        </w:rPr>
        <w:t>ing</w:t>
      </w:r>
      <w:proofErr w:type="spellEnd"/>
      <w:r w:rsidRPr="00617517">
        <w:rPr>
          <w:rFonts w:ascii="Times New Roman" w:hAnsi="Times New Roman"/>
          <w:lang w:val="en-US"/>
        </w:rPr>
        <w:t xml:space="preserve"> the building, </w:t>
      </w:r>
      <w:r w:rsidR="004D5C85">
        <w:rPr>
          <w:rFonts w:ascii="Times New Roman" w:hAnsi="Times New Roman"/>
          <w:lang w:val="en-US"/>
        </w:rPr>
        <w:t>particularly</w:t>
      </w:r>
      <w:r w:rsidRPr="00617517">
        <w:rPr>
          <w:rFonts w:ascii="Times New Roman" w:hAnsi="Times New Roman"/>
          <w:lang w:val="en-US"/>
        </w:rPr>
        <w:t xml:space="preserve"> the use of renewable energy sources for </w:t>
      </w:r>
      <w:r w:rsidR="004D5C85">
        <w:rPr>
          <w:rFonts w:ascii="Times New Roman" w:hAnsi="Times New Roman"/>
          <w:lang w:val="en-US"/>
        </w:rPr>
        <w:t xml:space="preserve">the </w:t>
      </w:r>
      <w:r w:rsidRPr="00617517">
        <w:rPr>
          <w:rFonts w:ascii="Times New Roman" w:hAnsi="Times New Roman"/>
          <w:lang w:val="en-US"/>
        </w:rPr>
        <w:t xml:space="preserve">heat supply of the building while increasing its energy efficiency, and to </w:t>
      </w:r>
      <w:proofErr w:type="spellStart"/>
      <w:r w:rsidRPr="00617517">
        <w:rPr>
          <w:rFonts w:ascii="Times New Roman" w:hAnsi="Times New Roman"/>
          <w:lang w:val="en-US"/>
        </w:rPr>
        <w:t>analy</w:t>
      </w:r>
      <w:r w:rsidR="004D5C85">
        <w:rPr>
          <w:rFonts w:ascii="Times New Roman" w:hAnsi="Times New Roman"/>
          <w:lang w:val="en-US"/>
        </w:rPr>
        <w:t>s</w:t>
      </w:r>
      <w:r w:rsidRPr="00617517">
        <w:rPr>
          <w:rFonts w:ascii="Times New Roman" w:hAnsi="Times New Roman"/>
          <w:lang w:val="en-US"/>
        </w:rPr>
        <w:t>e</w:t>
      </w:r>
      <w:proofErr w:type="spellEnd"/>
      <w:r w:rsidRPr="00617517">
        <w:rPr>
          <w:rFonts w:ascii="Times New Roman" w:hAnsi="Times New Roman"/>
          <w:lang w:val="en-US"/>
        </w:rPr>
        <w:t xml:space="preserve"> the technical, economic and environmental benefits of </w:t>
      </w:r>
      <w:proofErr w:type="spellStart"/>
      <w:r w:rsidRPr="00617517">
        <w:rPr>
          <w:rFonts w:ascii="Times New Roman" w:hAnsi="Times New Roman"/>
          <w:lang w:val="en-US"/>
        </w:rPr>
        <w:t>moderni</w:t>
      </w:r>
      <w:r w:rsidR="004D5C85">
        <w:rPr>
          <w:rFonts w:ascii="Times New Roman" w:hAnsi="Times New Roman"/>
          <w:lang w:val="en-US"/>
        </w:rPr>
        <w:t>s</w:t>
      </w:r>
      <w:r w:rsidRPr="00617517">
        <w:rPr>
          <w:rFonts w:ascii="Times New Roman" w:hAnsi="Times New Roman"/>
          <w:lang w:val="en-US"/>
        </w:rPr>
        <w:t>ation</w:t>
      </w:r>
      <w:proofErr w:type="spellEnd"/>
      <w:r w:rsidRPr="00617517">
        <w:rPr>
          <w:rFonts w:ascii="Times New Roman" w:hAnsi="Times New Roman"/>
          <w:lang w:val="en-US"/>
        </w:rPr>
        <w:t xml:space="preserve">. </w:t>
      </w:r>
    </w:p>
    <w:p w14:paraId="44575457" w14:textId="0666FBDE" w:rsidR="00617517" w:rsidRPr="00617517" w:rsidRDefault="004D5C85" w:rsidP="00617517">
      <w:pPr>
        <w:spacing w:after="0" w:line="240" w:lineRule="auto"/>
        <w:ind w:firstLine="284"/>
        <w:jc w:val="both"/>
        <w:rPr>
          <w:rFonts w:ascii="Times New Roman" w:hAnsi="Times New Roman"/>
          <w:lang w:val="en-US"/>
        </w:rPr>
      </w:pPr>
      <w:r>
        <w:rPr>
          <w:rFonts w:ascii="Times New Roman" w:hAnsi="Times New Roman"/>
          <w:lang w:val="en-US"/>
        </w:rPr>
        <w:t>T</w:t>
      </w:r>
      <w:r w:rsidRPr="00617517">
        <w:rPr>
          <w:rFonts w:ascii="Times New Roman" w:hAnsi="Times New Roman"/>
          <w:lang w:val="en-US"/>
        </w:rPr>
        <w:t xml:space="preserve">he following tasks have been set </w:t>
      </w:r>
      <w:r>
        <w:rPr>
          <w:rFonts w:ascii="Times New Roman" w:hAnsi="Times New Roman"/>
          <w:lang w:val="en-US"/>
        </w:rPr>
        <w:t>t</w:t>
      </w:r>
      <w:r w:rsidR="00617517" w:rsidRPr="00617517">
        <w:rPr>
          <w:rFonts w:ascii="Times New Roman" w:hAnsi="Times New Roman"/>
          <w:lang w:val="en-US"/>
        </w:rPr>
        <w:t>o achieve this goal:</w:t>
      </w:r>
    </w:p>
    <w:p w14:paraId="4B5407E8" w14:textId="77777777" w:rsidR="00617517" w:rsidRPr="00563D9C" w:rsidRDefault="00617517" w:rsidP="00617517">
      <w:pPr>
        <w:spacing w:after="0" w:line="240" w:lineRule="auto"/>
        <w:ind w:left="280" w:hanging="280"/>
        <w:jc w:val="both"/>
        <w:rPr>
          <w:rFonts w:ascii="Times New Roman" w:hAnsi="Times New Roman"/>
          <w:lang w:val="en-US"/>
        </w:rPr>
      </w:pPr>
      <w:r w:rsidRPr="00563D9C">
        <w:rPr>
          <w:rFonts w:ascii="Times New Roman" w:hAnsi="Times New Roman"/>
          <w:lang w:val="en-US"/>
        </w:rPr>
        <w:t xml:space="preserve">1) Creation of a building model in </w:t>
      </w:r>
      <w:proofErr w:type="spellStart"/>
      <w:r w:rsidRPr="00563D9C">
        <w:rPr>
          <w:rFonts w:ascii="Times New Roman" w:hAnsi="Times New Roman"/>
          <w:lang w:val="en-US"/>
        </w:rPr>
        <w:t>DesignBuilder</w:t>
      </w:r>
      <w:proofErr w:type="spellEnd"/>
      <w:r w:rsidRPr="00563D9C">
        <w:rPr>
          <w:rFonts w:ascii="Times New Roman" w:hAnsi="Times New Roman"/>
          <w:lang w:val="en-US"/>
        </w:rPr>
        <w:t xml:space="preserve"> with different levels of thermal protection (I – non-insulated building, existing level of thermal protection, II – level of thermal protection that meets the requirements of Ukraine, III – level of thermal protection that meets the requirements of Sweden);</w:t>
      </w:r>
    </w:p>
    <w:p w14:paraId="71C01C88" w14:textId="308A9CD8" w:rsidR="00617517" w:rsidRPr="00563D9C" w:rsidRDefault="00617517" w:rsidP="00617517">
      <w:pPr>
        <w:spacing w:after="0" w:line="240" w:lineRule="auto"/>
        <w:ind w:left="280" w:hanging="280"/>
        <w:jc w:val="both"/>
        <w:rPr>
          <w:rFonts w:ascii="Times New Roman" w:hAnsi="Times New Roman"/>
          <w:lang w:val="en-US"/>
        </w:rPr>
      </w:pPr>
      <w:r w:rsidRPr="00563D9C">
        <w:rPr>
          <w:rFonts w:ascii="Times New Roman" w:hAnsi="Times New Roman"/>
          <w:lang w:val="en-US"/>
        </w:rPr>
        <w:t>2) Estimation of the building heating demand at different levels of thermal protection according to the results of dynamic mode</w:t>
      </w:r>
      <w:r w:rsidR="004D5C85">
        <w:rPr>
          <w:rFonts w:ascii="Times New Roman" w:hAnsi="Times New Roman"/>
          <w:lang w:val="en-US"/>
        </w:rPr>
        <w:t>l</w:t>
      </w:r>
      <w:r w:rsidRPr="00563D9C">
        <w:rPr>
          <w:rFonts w:ascii="Times New Roman" w:hAnsi="Times New Roman"/>
          <w:lang w:val="en-US"/>
        </w:rPr>
        <w:t xml:space="preserve">ling in </w:t>
      </w:r>
      <w:proofErr w:type="spellStart"/>
      <w:r w:rsidRPr="00563D9C">
        <w:rPr>
          <w:rFonts w:ascii="Times New Roman" w:hAnsi="Times New Roman"/>
          <w:lang w:val="en-US"/>
        </w:rPr>
        <w:t>DesignBuilder</w:t>
      </w:r>
      <w:proofErr w:type="spellEnd"/>
      <w:r w:rsidRPr="00563D9C">
        <w:rPr>
          <w:rFonts w:ascii="Times New Roman" w:hAnsi="Times New Roman"/>
          <w:lang w:val="en-US"/>
        </w:rPr>
        <w:t>;</w:t>
      </w:r>
    </w:p>
    <w:p w14:paraId="721371A8" w14:textId="50AFE6EE" w:rsidR="00617517" w:rsidRPr="00563D9C" w:rsidRDefault="00617517" w:rsidP="00617517">
      <w:pPr>
        <w:spacing w:after="0" w:line="240" w:lineRule="auto"/>
        <w:ind w:left="280" w:hanging="280"/>
        <w:jc w:val="both"/>
        <w:rPr>
          <w:rFonts w:ascii="Times New Roman" w:hAnsi="Times New Roman"/>
          <w:lang w:val="en-US"/>
        </w:rPr>
      </w:pPr>
      <w:r w:rsidRPr="00563D9C">
        <w:rPr>
          <w:rFonts w:ascii="Times New Roman" w:hAnsi="Times New Roman"/>
          <w:lang w:val="en-US"/>
        </w:rPr>
        <w:t xml:space="preserve">3) Assessment of the possibilities of using biomass and a heat pump for </w:t>
      </w:r>
      <w:r w:rsidR="004D5C85">
        <w:rPr>
          <w:rFonts w:ascii="Times New Roman" w:hAnsi="Times New Roman"/>
          <w:lang w:val="en-US"/>
        </w:rPr>
        <w:t xml:space="preserve">the </w:t>
      </w:r>
      <w:r w:rsidRPr="00563D9C">
        <w:rPr>
          <w:rFonts w:ascii="Times New Roman" w:hAnsi="Times New Roman"/>
          <w:lang w:val="en-US"/>
        </w:rPr>
        <w:t>heat supply of a building with different levels of thermal protection;</w:t>
      </w:r>
    </w:p>
    <w:p w14:paraId="6EFC3BBB" w14:textId="073B17D9" w:rsidR="00617517" w:rsidRPr="00563D9C" w:rsidRDefault="00617517" w:rsidP="00617517">
      <w:pPr>
        <w:spacing w:after="0" w:line="240" w:lineRule="auto"/>
        <w:ind w:left="280" w:hanging="280"/>
        <w:jc w:val="both"/>
        <w:rPr>
          <w:rFonts w:ascii="Times New Roman" w:hAnsi="Times New Roman"/>
          <w:lang w:val="en-US"/>
        </w:rPr>
      </w:pPr>
      <w:r w:rsidRPr="00563D9C">
        <w:rPr>
          <w:rFonts w:ascii="Times New Roman" w:hAnsi="Times New Roman"/>
          <w:lang w:val="en-US"/>
        </w:rPr>
        <w:t>4) Dynamic mode</w:t>
      </w:r>
      <w:r w:rsidR="004D5C85">
        <w:rPr>
          <w:rFonts w:ascii="Times New Roman" w:hAnsi="Times New Roman"/>
          <w:lang w:val="en-US"/>
        </w:rPr>
        <w:t>l</w:t>
      </w:r>
      <w:r w:rsidRPr="00563D9C">
        <w:rPr>
          <w:rFonts w:ascii="Times New Roman" w:hAnsi="Times New Roman"/>
          <w:lang w:val="en-US"/>
        </w:rPr>
        <w:t xml:space="preserve">ling of heat generation by a heat pump at different levels of thermal protection of a building in the </w:t>
      </w:r>
      <w:proofErr w:type="spellStart"/>
      <w:r w:rsidRPr="00563D9C">
        <w:rPr>
          <w:rFonts w:ascii="Times New Roman" w:hAnsi="Times New Roman"/>
          <w:lang w:val="en-US"/>
        </w:rPr>
        <w:t>GeoTSOL</w:t>
      </w:r>
      <w:proofErr w:type="spellEnd"/>
      <w:r w:rsidRPr="00563D9C">
        <w:rPr>
          <w:rFonts w:ascii="Times New Roman" w:hAnsi="Times New Roman"/>
          <w:lang w:val="en-US"/>
        </w:rPr>
        <w:t xml:space="preserve"> environment (</w:t>
      </w:r>
      <w:proofErr w:type="spellStart"/>
      <w:r w:rsidRPr="00563D9C">
        <w:rPr>
          <w:rFonts w:ascii="Times New Roman" w:eastAsia="Times New Roman" w:hAnsi="Times New Roman"/>
          <w:lang w:val="en-US" w:eastAsia="ru-RU"/>
        </w:rPr>
        <w:t>GeoT</w:t>
      </w:r>
      <w:proofErr w:type="spellEnd"/>
      <w:r w:rsidRPr="00563D9C">
        <w:rPr>
          <w:rFonts w:ascii="Times New Roman" w:eastAsia="Times New Roman" w:hAnsi="Times New Roman"/>
          <w:lang w:val="en-US" w:eastAsia="ru-RU"/>
        </w:rPr>
        <w:t>*SOL | Calculation and simulation software for heat pump systems. Valentin Software)</w:t>
      </w:r>
      <w:r w:rsidRPr="00563D9C">
        <w:rPr>
          <w:rFonts w:ascii="Times New Roman" w:hAnsi="Times New Roman"/>
          <w:lang w:val="en-US"/>
        </w:rPr>
        <w:t>;</w:t>
      </w:r>
    </w:p>
    <w:p w14:paraId="5D8C5EF5" w14:textId="010E9C14" w:rsidR="00617517" w:rsidRPr="00563D9C" w:rsidRDefault="00617517" w:rsidP="00617517">
      <w:pPr>
        <w:spacing w:after="0" w:line="240" w:lineRule="auto"/>
        <w:ind w:left="280" w:hanging="280"/>
        <w:jc w:val="both"/>
        <w:rPr>
          <w:rFonts w:ascii="Times New Roman" w:hAnsi="Times New Roman"/>
          <w:lang w:val="en-US"/>
        </w:rPr>
      </w:pPr>
      <w:r w:rsidRPr="00563D9C">
        <w:rPr>
          <w:rFonts w:ascii="Times New Roman" w:hAnsi="Times New Roman"/>
          <w:lang w:val="en-US"/>
        </w:rPr>
        <w:t xml:space="preserve">5) Assessment of the carbon footprint when using different energy sources for </w:t>
      </w:r>
      <w:r w:rsidR="004D5C85">
        <w:rPr>
          <w:rFonts w:ascii="Times New Roman" w:hAnsi="Times New Roman"/>
          <w:lang w:val="en-US"/>
        </w:rPr>
        <w:t xml:space="preserve">the </w:t>
      </w:r>
      <w:r w:rsidRPr="00563D9C">
        <w:rPr>
          <w:rFonts w:ascii="Times New Roman" w:hAnsi="Times New Roman"/>
          <w:lang w:val="en-US"/>
        </w:rPr>
        <w:t>heat supply of the building at different levels of thermal protection;</w:t>
      </w:r>
    </w:p>
    <w:p w14:paraId="6D23B7BD" w14:textId="2886603E" w:rsidR="00617517" w:rsidRPr="00563D9C" w:rsidRDefault="00617517" w:rsidP="00617517">
      <w:pPr>
        <w:spacing w:after="0" w:line="240" w:lineRule="auto"/>
        <w:ind w:left="280" w:hanging="280"/>
        <w:jc w:val="both"/>
        <w:rPr>
          <w:rFonts w:ascii="Times New Roman" w:hAnsi="Times New Roman"/>
          <w:lang w:val="en-US"/>
        </w:rPr>
      </w:pPr>
      <w:r w:rsidRPr="00563D9C">
        <w:rPr>
          <w:rFonts w:ascii="Times New Roman" w:hAnsi="Times New Roman"/>
          <w:lang w:val="en-US"/>
        </w:rPr>
        <w:t xml:space="preserve">6) Estimation of integrated costs for heating a building using fossil fuel and renewable energy at different levels of thermal protection for </w:t>
      </w:r>
      <w:r w:rsidR="004D5C85">
        <w:rPr>
          <w:rFonts w:ascii="Times New Roman" w:hAnsi="Times New Roman"/>
          <w:lang w:val="en-US"/>
        </w:rPr>
        <w:t xml:space="preserve">the </w:t>
      </w:r>
      <w:r w:rsidRPr="00563D9C">
        <w:rPr>
          <w:rFonts w:ascii="Times New Roman" w:hAnsi="Times New Roman"/>
          <w:lang w:val="en-US"/>
        </w:rPr>
        <w:t>heat supply of the building.</w:t>
      </w:r>
    </w:p>
    <w:p w14:paraId="7AD67B9F" w14:textId="332C1C4A" w:rsidR="00CF4FDF" w:rsidRPr="004A592F" w:rsidRDefault="0033575A" w:rsidP="00154B44">
      <w:pPr>
        <w:pStyle w:val="Rn1"/>
      </w:pPr>
      <w:r w:rsidRPr="004A592F">
        <w:t xml:space="preserve">2. </w:t>
      </w:r>
      <w:r w:rsidR="00D9070D" w:rsidRPr="004A592F">
        <w:t xml:space="preserve">Materials and </w:t>
      </w:r>
      <w:proofErr w:type="spellStart"/>
      <w:r w:rsidR="00D9070D" w:rsidRPr="004A592F">
        <w:t>Results</w:t>
      </w:r>
      <w:proofErr w:type="spellEnd"/>
      <w:r w:rsidR="00D9070D" w:rsidRPr="004A592F">
        <w:t xml:space="preserve"> of the </w:t>
      </w:r>
      <w:proofErr w:type="spellStart"/>
      <w:r w:rsidR="00D9070D" w:rsidRPr="004A592F">
        <w:t>Study</w:t>
      </w:r>
      <w:proofErr w:type="spellEnd"/>
    </w:p>
    <w:p w14:paraId="494BED5F" w14:textId="3AB8234E" w:rsidR="006A0D15" w:rsidRPr="00563D9C" w:rsidRDefault="006A0D15" w:rsidP="006A0D15">
      <w:pPr>
        <w:spacing w:after="0" w:line="240" w:lineRule="auto"/>
        <w:ind w:firstLine="284"/>
        <w:jc w:val="both"/>
        <w:rPr>
          <w:rFonts w:ascii="Times New Roman" w:hAnsi="Times New Roman"/>
          <w:lang w:val="en-US"/>
        </w:rPr>
      </w:pPr>
      <w:r w:rsidRPr="00563D9C">
        <w:rPr>
          <w:rFonts w:ascii="Times New Roman" w:eastAsiaTheme="minorHAnsi" w:hAnsi="Times New Roman"/>
          <w:b/>
          <w:i/>
          <w:iCs/>
          <w:lang w:val="en-US"/>
        </w:rPr>
        <w:t>Source data.</w:t>
      </w:r>
      <w:r w:rsidRPr="00563D9C">
        <w:rPr>
          <w:rFonts w:ascii="Times New Roman" w:hAnsi="Times New Roman"/>
          <w:lang w:val="en-US"/>
        </w:rPr>
        <w:t xml:space="preserve"> The object of study is a public building (office) in Kyiv. The thermal envelope of the building is represented by non-insulated external envelope structures and insufficiently efficient translucent structures. According to the results of the analysis of the technical passport for the building, the outer walls are expanded clay concrete slabs, the translucent structures are metallic double-glazed windows and glass blocks (installed in the 1970s in the places of stairwells and an assembly hall that was dismantled), the roof is made of reinforced concrete slabs with a layer of roofing material</w:t>
      </w:r>
      <w:r w:rsidR="004D5C85">
        <w:rPr>
          <w:rFonts w:ascii="Times New Roman" w:hAnsi="Times New Roman"/>
          <w:lang w:val="en-US"/>
        </w:rPr>
        <w:t>. T</w:t>
      </w:r>
      <w:r w:rsidRPr="00563D9C">
        <w:rPr>
          <w:rFonts w:ascii="Times New Roman" w:hAnsi="Times New Roman"/>
          <w:lang w:val="en-US"/>
        </w:rPr>
        <w:t xml:space="preserve">he ceiling over the unheated basement is made of reinforced concrete slabs. In other words, the overall condition of the building envelope can be </w:t>
      </w:r>
      <w:proofErr w:type="spellStart"/>
      <w:r w:rsidRPr="00563D9C">
        <w:rPr>
          <w:rFonts w:ascii="Times New Roman" w:hAnsi="Times New Roman"/>
          <w:lang w:val="en-US"/>
        </w:rPr>
        <w:t>characteri</w:t>
      </w:r>
      <w:r w:rsidR="004D5C85">
        <w:rPr>
          <w:rFonts w:ascii="Times New Roman" w:hAnsi="Times New Roman"/>
          <w:lang w:val="en-US"/>
        </w:rPr>
        <w:t>s</w:t>
      </w:r>
      <w:r w:rsidRPr="00563D9C">
        <w:rPr>
          <w:rFonts w:ascii="Times New Roman" w:hAnsi="Times New Roman"/>
          <w:lang w:val="en-US"/>
        </w:rPr>
        <w:t>ed</w:t>
      </w:r>
      <w:proofErr w:type="spellEnd"/>
      <w:r w:rsidRPr="00563D9C">
        <w:rPr>
          <w:rFonts w:ascii="Times New Roman" w:hAnsi="Times New Roman"/>
          <w:lang w:val="en-US"/>
        </w:rPr>
        <w:t xml:space="preserve"> as inefficient, with significant heat loss through the building envelope and non-compliance with the indoor climate parameters. The main </w:t>
      </w:r>
      <w:r w:rsidR="004D5C85">
        <w:rPr>
          <w:rFonts w:ascii="Times New Roman" w:hAnsi="Times New Roman"/>
          <w:lang w:val="en-US"/>
        </w:rPr>
        <w:t>energy source</w:t>
      </w:r>
      <w:r w:rsidRPr="00563D9C">
        <w:rPr>
          <w:rFonts w:ascii="Times New Roman" w:hAnsi="Times New Roman"/>
          <w:lang w:val="en-US"/>
        </w:rPr>
        <w:t xml:space="preserve"> for heat supply is a boiler located in the boiler room, which is in relative proximity to the office. The boiler is fired by natural gas, and the</w:t>
      </w:r>
      <w:r w:rsidR="004D5C85">
        <w:rPr>
          <w:rFonts w:ascii="Times New Roman" w:hAnsi="Times New Roman"/>
          <w:lang w:val="en-US"/>
        </w:rPr>
        <w:t xml:space="preserve"> heating system has no weather-dependent control</w:t>
      </w:r>
      <w:r w:rsidRPr="00563D9C">
        <w:rPr>
          <w:rFonts w:ascii="Times New Roman" w:hAnsi="Times New Roman"/>
          <w:lang w:val="en-US"/>
        </w:rPr>
        <w:t xml:space="preserve">. </w:t>
      </w:r>
    </w:p>
    <w:p w14:paraId="00DE2FA8" w14:textId="6A64F8F6" w:rsidR="006A0D15" w:rsidRPr="00563D9C" w:rsidRDefault="004D5C85" w:rsidP="006A0D15">
      <w:pPr>
        <w:spacing w:after="0" w:line="240" w:lineRule="auto"/>
        <w:ind w:firstLine="567"/>
        <w:jc w:val="both"/>
        <w:rPr>
          <w:rFonts w:ascii="Times New Roman" w:hAnsi="Times New Roman"/>
          <w:lang w:val="en-US"/>
        </w:rPr>
      </w:pPr>
      <w:r>
        <w:rPr>
          <w:rFonts w:ascii="Times New Roman" w:hAnsi="Times New Roman"/>
          <w:lang w:val="en-US"/>
        </w:rPr>
        <w:lastRenderedPageBreak/>
        <w:t>S</w:t>
      </w:r>
      <w:r w:rsidR="006A0D15" w:rsidRPr="00563D9C">
        <w:rPr>
          <w:rFonts w:ascii="Times New Roman" w:hAnsi="Times New Roman"/>
          <w:lang w:val="en-US"/>
        </w:rPr>
        <w:t>everal options for possible heat supply of the research object have been considered</w:t>
      </w:r>
      <w:r w:rsidRPr="004D5C85">
        <w:rPr>
          <w:rFonts w:ascii="Times New Roman" w:hAnsi="Times New Roman"/>
          <w:lang w:val="en-US"/>
        </w:rPr>
        <w:t xml:space="preserve"> </w:t>
      </w:r>
      <w:r>
        <w:rPr>
          <w:rFonts w:ascii="Times New Roman" w:hAnsi="Times New Roman"/>
          <w:lang w:val="en-US"/>
        </w:rPr>
        <w:t>t</w:t>
      </w:r>
      <w:r w:rsidRPr="00563D9C">
        <w:rPr>
          <w:rFonts w:ascii="Times New Roman" w:hAnsi="Times New Roman"/>
          <w:lang w:val="en-US"/>
        </w:rPr>
        <w:t>o improve the energy efficiency of the building</w:t>
      </w:r>
      <w:r w:rsidR="006A0D15" w:rsidRPr="00563D9C">
        <w:rPr>
          <w:rFonts w:ascii="Times New Roman" w:hAnsi="Times New Roman"/>
          <w:lang w:val="en-US"/>
        </w:rPr>
        <w:t>, which can be divided into several stages:</w:t>
      </w:r>
    </w:p>
    <w:p w14:paraId="5C390C38" w14:textId="77777777" w:rsidR="006A0D15" w:rsidRPr="00563D9C" w:rsidRDefault="006A0D15" w:rsidP="006A0D15">
      <w:pPr>
        <w:spacing w:after="0" w:line="240" w:lineRule="auto"/>
        <w:ind w:left="252" w:hanging="252"/>
        <w:jc w:val="both"/>
        <w:rPr>
          <w:rFonts w:ascii="Times New Roman" w:hAnsi="Times New Roman"/>
          <w:lang w:val="en-US"/>
        </w:rPr>
      </w:pPr>
      <w:r w:rsidRPr="00563D9C">
        <w:rPr>
          <w:rFonts w:ascii="Times New Roman" w:hAnsi="Times New Roman"/>
          <w:lang w:val="en-US"/>
        </w:rPr>
        <w:t>1) Improving the thermal protection of the building to the level of a high-energy envelope – on the example of compliance of building envelopes with the requirements of Ukraine and the requirements of Sweden (</w:t>
      </w:r>
      <w:proofErr w:type="spellStart"/>
      <w:r w:rsidRPr="00563D9C">
        <w:rPr>
          <w:rFonts w:ascii="Times New Roman" w:eastAsia="Times New Roman" w:hAnsi="Times New Roman"/>
          <w:lang w:val="en-US" w:eastAsia="ru-RU"/>
        </w:rPr>
        <w:t>Shkarovskiy</w:t>
      </w:r>
      <w:proofErr w:type="spellEnd"/>
      <w:r w:rsidRPr="00563D9C">
        <w:rPr>
          <w:rFonts w:ascii="Times New Roman" w:eastAsia="Times New Roman" w:hAnsi="Times New Roman"/>
          <w:lang w:eastAsia="ru-RU"/>
        </w:rPr>
        <w:t xml:space="preserve"> </w:t>
      </w:r>
      <w:r w:rsidRPr="00563D9C">
        <w:rPr>
          <w:rFonts w:ascii="Times New Roman" w:hAnsi="Times New Roman"/>
          <w:lang w:val="en-US"/>
        </w:rPr>
        <w:t xml:space="preserve">et al. 2021, </w:t>
      </w:r>
      <w:proofErr w:type="spellStart"/>
      <w:r w:rsidRPr="00563D9C">
        <w:rPr>
          <w:rFonts w:ascii="Times New Roman" w:hAnsi="Times New Roman"/>
          <w:lang w:val="en-US"/>
        </w:rPr>
        <w:t>Deshko</w:t>
      </w:r>
      <w:proofErr w:type="spellEnd"/>
      <w:r w:rsidRPr="00563D9C">
        <w:rPr>
          <w:rFonts w:ascii="Times New Roman" w:hAnsi="Times New Roman"/>
          <w:lang w:val="en-US"/>
        </w:rPr>
        <w:t xml:space="preserve"> et al. 2022);</w:t>
      </w:r>
    </w:p>
    <w:p w14:paraId="1396B4DC" w14:textId="77777777" w:rsidR="006A0D15" w:rsidRPr="00563D9C" w:rsidRDefault="006A0D15" w:rsidP="006A0D15">
      <w:pPr>
        <w:spacing w:after="0" w:line="240" w:lineRule="auto"/>
        <w:ind w:left="252" w:hanging="252"/>
        <w:jc w:val="both"/>
        <w:rPr>
          <w:rFonts w:ascii="Times New Roman" w:hAnsi="Times New Roman"/>
          <w:lang w:val="en-US"/>
        </w:rPr>
      </w:pPr>
      <w:r w:rsidRPr="00563D9C">
        <w:rPr>
          <w:rFonts w:ascii="Times New Roman" w:hAnsi="Times New Roman"/>
          <w:lang w:val="en-US"/>
        </w:rPr>
        <w:t>2) Use of biomass energy for heat supply of the building (</w:t>
      </w:r>
      <w:proofErr w:type="spellStart"/>
      <w:r w:rsidRPr="00563D9C">
        <w:rPr>
          <w:rFonts w:ascii="Times New Roman" w:hAnsi="Times New Roman"/>
          <w:lang w:val="en-US"/>
        </w:rPr>
        <w:t>Deshko</w:t>
      </w:r>
      <w:proofErr w:type="spellEnd"/>
      <w:r w:rsidRPr="00563D9C">
        <w:rPr>
          <w:rFonts w:ascii="Times New Roman" w:hAnsi="Times New Roman"/>
          <w:lang w:val="en-US"/>
        </w:rPr>
        <w:t xml:space="preserve"> et al. 2023);</w:t>
      </w:r>
    </w:p>
    <w:p w14:paraId="17A520B5" w14:textId="3EAFE456" w:rsidR="006A0D15" w:rsidRPr="00563D9C" w:rsidRDefault="006A0D15" w:rsidP="006A0D15">
      <w:pPr>
        <w:spacing w:after="0" w:line="240" w:lineRule="auto"/>
        <w:ind w:left="252" w:hanging="252"/>
        <w:jc w:val="both"/>
        <w:rPr>
          <w:rFonts w:ascii="Times New Roman" w:hAnsi="Times New Roman"/>
          <w:lang w:val="en-US"/>
        </w:rPr>
      </w:pPr>
      <w:r w:rsidRPr="00563D9C">
        <w:rPr>
          <w:rFonts w:ascii="Times New Roman" w:hAnsi="Times New Roman"/>
          <w:lang w:val="en-US"/>
        </w:rPr>
        <w:t xml:space="preserve">3) Use of a heat pump for </w:t>
      </w:r>
      <w:r w:rsidR="004D5C85">
        <w:rPr>
          <w:rFonts w:ascii="Times New Roman" w:hAnsi="Times New Roman"/>
          <w:lang w:val="en-US"/>
        </w:rPr>
        <w:t xml:space="preserve">the </w:t>
      </w:r>
      <w:r w:rsidRPr="00563D9C">
        <w:rPr>
          <w:rFonts w:ascii="Times New Roman" w:hAnsi="Times New Roman"/>
          <w:lang w:val="en-US"/>
        </w:rPr>
        <w:t>heat supply of the building</w:t>
      </w:r>
      <w:r w:rsidRPr="00563D9C">
        <w:rPr>
          <w:rFonts w:ascii="Times New Roman" w:hAnsi="Times New Roman"/>
        </w:rPr>
        <w:t xml:space="preserve"> </w:t>
      </w:r>
      <w:r w:rsidRPr="00563D9C">
        <w:rPr>
          <w:rFonts w:ascii="Times New Roman" w:hAnsi="Times New Roman"/>
          <w:lang w:val="en-US"/>
        </w:rPr>
        <w:t>(</w:t>
      </w:r>
      <w:proofErr w:type="spellStart"/>
      <w:r w:rsidRPr="00563D9C">
        <w:rPr>
          <w:rFonts w:ascii="Times New Roman" w:hAnsi="Times New Roman"/>
          <w:lang w:val="en-US"/>
        </w:rPr>
        <w:t>Deshko</w:t>
      </w:r>
      <w:proofErr w:type="spellEnd"/>
      <w:r w:rsidRPr="00563D9C">
        <w:rPr>
          <w:rFonts w:ascii="Times New Roman" w:hAnsi="Times New Roman"/>
          <w:lang w:val="en-US"/>
        </w:rPr>
        <w:t xml:space="preserve"> et al. 2023).</w:t>
      </w:r>
    </w:p>
    <w:p w14:paraId="7EE542C8" w14:textId="77777777" w:rsidR="006A0D15" w:rsidRDefault="006A0D15" w:rsidP="006A0D15">
      <w:pPr>
        <w:pStyle w:val="Nagwek4"/>
        <w:spacing w:before="0" w:beforeAutospacing="0" w:after="0" w:afterAutospacing="0"/>
        <w:ind w:firstLine="284"/>
        <w:jc w:val="both"/>
        <w:textAlignment w:val="baseline"/>
        <w:rPr>
          <w:rFonts w:eastAsia="Calibri"/>
          <w:b w:val="0"/>
          <w:bCs w:val="0"/>
          <w:sz w:val="22"/>
          <w:szCs w:val="22"/>
          <w:lang w:val="en-US" w:eastAsia="en-US"/>
        </w:rPr>
      </w:pPr>
    </w:p>
    <w:p w14:paraId="34E48FDA" w14:textId="7CD79174" w:rsidR="006A0D15" w:rsidRPr="00563D9C" w:rsidRDefault="006A0D15" w:rsidP="006A0D15">
      <w:pPr>
        <w:pStyle w:val="Nagwek4"/>
        <w:spacing w:before="0" w:beforeAutospacing="0" w:after="0" w:afterAutospacing="0"/>
        <w:ind w:firstLine="284"/>
        <w:jc w:val="both"/>
        <w:textAlignment w:val="baseline"/>
        <w:rPr>
          <w:b w:val="0"/>
          <w:iCs/>
          <w:sz w:val="20"/>
          <w:szCs w:val="20"/>
          <w:lang w:val="en-US" w:eastAsia="ru-RU"/>
        </w:rPr>
      </w:pPr>
      <w:r w:rsidRPr="00563D9C">
        <w:rPr>
          <w:rFonts w:eastAsia="Calibri"/>
          <w:b w:val="0"/>
          <w:bCs w:val="0"/>
          <w:sz w:val="22"/>
          <w:szCs w:val="22"/>
          <w:lang w:val="en-US" w:eastAsia="en-US"/>
        </w:rPr>
        <w:t>The energy demand for heating, determined according to the results of dynamic mode</w:t>
      </w:r>
      <w:r w:rsidR="004D5C85">
        <w:rPr>
          <w:rFonts w:eastAsia="Calibri"/>
          <w:b w:val="0"/>
          <w:bCs w:val="0"/>
          <w:sz w:val="22"/>
          <w:szCs w:val="22"/>
          <w:lang w:val="en-US" w:eastAsia="en-US"/>
        </w:rPr>
        <w:t>l</w:t>
      </w:r>
      <w:r w:rsidRPr="00563D9C">
        <w:rPr>
          <w:rFonts w:eastAsia="Calibri"/>
          <w:b w:val="0"/>
          <w:bCs w:val="0"/>
          <w:sz w:val="22"/>
          <w:szCs w:val="22"/>
          <w:lang w:val="en-US" w:eastAsia="en-US"/>
        </w:rPr>
        <w:t xml:space="preserve">ling of the building in </w:t>
      </w:r>
      <w:proofErr w:type="spellStart"/>
      <w:r w:rsidRPr="00563D9C">
        <w:rPr>
          <w:rFonts w:eastAsia="Calibri"/>
          <w:b w:val="0"/>
          <w:bCs w:val="0"/>
          <w:sz w:val="22"/>
          <w:szCs w:val="22"/>
          <w:lang w:val="en-US" w:eastAsia="en-US"/>
        </w:rPr>
        <w:t>DesignBuilder</w:t>
      </w:r>
      <w:proofErr w:type="spellEnd"/>
      <w:r w:rsidRPr="00563D9C">
        <w:rPr>
          <w:rFonts w:eastAsia="Calibri"/>
          <w:b w:val="0"/>
          <w:bCs w:val="0"/>
          <w:sz w:val="22"/>
          <w:szCs w:val="22"/>
          <w:lang w:val="en-US" w:eastAsia="en-US"/>
        </w:rPr>
        <w:t xml:space="preserve"> with the existing technical and physical parameters of the building envelope and the stable operation of the heating system (without weather-dependent control), is 411.6 MWh.</w:t>
      </w:r>
    </w:p>
    <w:p w14:paraId="3F6F7EB4" w14:textId="3D4696AA" w:rsidR="006A0D15" w:rsidRPr="00563D9C" w:rsidRDefault="006A0D15" w:rsidP="006A0D15">
      <w:pPr>
        <w:spacing w:after="0" w:line="240" w:lineRule="auto"/>
        <w:ind w:firstLine="567"/>
        <w:jc w:val="both"/>
        <w:rPr>
          <w:rFonts w:ascii="Times New Roman" w:hAnsi="Times New Roman"/>
          <w:lang w:val="en-US"/>
        </w:rPr>
      </w:pPr>
      <w:r w:rsidRPr="00563D9C">
        <w:rPr>
          <w:rFonts w:ascii="Times New Roman" w:eastAsiaTheme="minorHAnsi" w:hAnsi="Times New Roman"/>
          <w:b/>
          <w:bCs/>
          <w:i/>
          <w:iCs/>
          <w:sz w:val="24"/>
          <w:szCs w:val="24"/>
          <w:lang w:val="en-US"/>
        </w:rPr>
        <w:t>Model description</w:t>
      </w:r>
      <w:r w:rsidRPr="00563D9C">
        <w:rPr>
          <w:rFonts w:ascii="Times New Roman" w:eastAsiaTheme="minorHAnsi" w:hAnsi="Times New Roman"/>
          <w:b/>
          <w:bCs/>
          <w:sz w:val="12"/>
          <w:szCs w:val="12"/>
          <w:lang w:val="en-US"/>
        </w:rPr>
        <w:t xml:space="preserve">. </w:t>
      </w:r>
      <w:r w:rsidRPr="00563D9C">
        <w:rPr>
          <w:rFonts w:ascii="Times New Roman" w:hAnsi="Times New Roman"/>
          <w:lang w:val="en-US"/>
        </w:rPr>
        <w:t xml:space="preserve">The technical and economic analysis of the </w:t>
      </w:r>
      <w:proofErr w:type="spellStart"/>
      <w:r w:rsidRPr="00563D9C">
        <w:rPr>
          <w:rFonts w:ascii="Times New Roman" w:hAnsi="Times New Roman"/>
          <w:lang w:val="en-US"/>
        </w:rPr>
        <w:t>moderni</w:t>
      </w:r>
      <w:r w:rsidR="004D5C85">
        <w:rPr>
          <w:rFonts w:ascii="Times New Roman" w:hAnsi="Times New Roman"/>
          <w:lang w:val="en-US"/>
        </w:rPr>
        <w:t>s</w:t>
      </w:r>
      <w:r w:rsidRPr="00563D9C">
        <w:rPr>
          <w:rFonts w:ascii="Times New Roman" w:hAnsi="Times New Roman"/>
          <w:lang w:val="en-US"/>
        </w:rPr>
        <w:t>ation</w:t>
      </w:r>
      <w:proofErr w:type="spellEnd"/>
      <w:r w:rsidRPr="00563D9C">
        <w:rPr>
          <w:rFonts w:ascii="Times New Roman" w:hAnsi="Times New Roman"/>
          <w:lang w:val="en-US"/>
        </w:rPr>
        <w:t xml:space="preserve"> of the building under consideration to the </w:t>
      </w:r>
      <w:proofErr w:type="spellStart"/>
      <w:r w:rsidRPr="00563D9C">
        <w:rPr>
          <w:rFonts w:ascii="Times New Roman" w:hAnsi="Times New Roman"/>
          <w:lang w:val="en-US"/>
        </w:rPr>
        <w:t>nZEB</w:t>
      </w:r>
      <w:proofErr w:type="spellEnd"/>
      <w:r w:rsidRPr="00563D9C">
        <w:rPr>
          <w:rFonts w:ascii="Times New Roman" w:hAnsi="Times New Roman"/>
          <w:lang w:val="en-US"/>
        </w:rPr>
        <w:t xml:space="preserve"> level is carried out for three variants of thermal protection of the building (non-insulated – I, insulated according to the requirements of Ukraine – II, insulated according to the requirements of Sweden – III) using the results of dynamic mode</w:t>
      </w:r>
      <w:r w:rsidR="004D5C85">
        <w:rPr>
          <w:rFonts w:ascii="Times New Roman" w:hAnsi="Times New Roman"/>
          <w:lang w:val="en-US"/>
        </w:rPr>
        <w:t>l</w:t>
      </w:r>
      <w:r w:rsidRPr="00563D9C">
        <w:rPr>
          <w:rFonts w:ascii="Times New Roman" w:hAnsi="Times New Roman"/>
          <w:lang w:val="en-US"/>
        </w:rPr>
        <w:t xml:space="preserve">ling in </w:t>
      </w:r>
      <w:proofErr w:type="spellStart"/>
      <w:r w:rsidRPr="00563D9C">
        <w:rPr>
          <w:rFonts w:ascii="Times New Roman" w:hAnsi="Times New Roman"/>
          <w:lang w:val="en-US"/>
        </w:rPr>
        <w:t>DesignBuilder</w:t>
      </w:r>
      <w:proofErr w:type="spellEnd"/>
      <w:r w:rsidRPr="00563D9C">
        <w:rPr>
          <w:rFonts w:ascii="Times New Roman" w:hAnsi="Times New Roman"/>
          <w:lang w:val="en-US"/>
        </w:rPr>
        <w:t xml:space="preserve">. In particular, the building model created in </w:t>
      </w:r>
      <w:proofErr w:type="spellStart"/>
      <w:r w:rsidRPr="00563D9C">
        <w:rPr>
          <w:rFonts w:ascii="Times New Roman" w:hAnsi="Times New Roman"/>
          <w:lang w:val="en-US"/>
        </w:rPr>
        <w:t>DesignBuilder</w:t>
      </w:r>
      <w:proofErr w:type="spellEnd"/>
      <w:r w:rsidRPr="00563D9C">
        <w:rPr>
          <w:rFonts w:ascii="Times New Roman" w:hAnsi="Times New Roman"/>
          <w:lang w:val="en-US"/>
        </w:rPr>
        <w:t xml:space="preserve"> corresponds to the geometric parameters of the existing building (according to the general plan of the building, all geometric dimensions of the premises and the building as a whole are maintained), climatic data of Kyiv, technical and physical parameters of the building envelope (Figure 1).</w:t>
      </w:r>
    </w:p>
    <w:p w14:paraId="2560D7A5" w14:textId="77777777" w:rsidR="001F5676" w:rsidRPr="004A592F" w:rsidRDefault="001F5676" w:rsidP="006A0D15">
      <w:pPr>
        <w:spacing w:after="0" w:line="240" w:lineRule="auto"/>
        <w:jc w:val="both"/>
        <w:rPr>
          <w:rFonts w:ascii="Times New Roman" w:hAnsi="Times New Roman"/>
          <w:lang w:val="en-US"/>
        </w:rPr>
      </w:pPr>
    </w:p>
    <w:p w14:paraId="7D07BCD2" w14:textId="77777777" w:rsidR="00D374EB" w:rsidRPr="004A592F" w:rsidRDefault="00D374EB" w:rsidP="00D374EB">
      <w:pPr>
        <w:spacing w:after="0" w:line="240" w:lineRule="auto"/>
        <w:jc w:val="center"/>
        <w:rPr>
          <w:rFonts w:ascii="Times New Roman" w:hAnsi="Times New Roman"/>
          <w:lang w:val="en-US"/>
        </w:rPr>
      </w:pPr>
      <w:r w:rsidRPr="004A592F">
        <w:rPr>
          <w:rFonts w:ascii="Times New Roman" w:hAnsi="Times New Roman"/>
          <w:noProof/>
          <w:lang w:val="ru-RU" w:eastAsia="ru-RU"/>
        </w:rPr>
        <w:drawing>
          <wp:inline distT="0" distB="0" distL="0" distR="0" wp14:anchorId="1CFB83CB" wp14:editId="223D68B2">
            <wp:extent cx="5469147" cy="207582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Записати.JPG"/>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5677412" cy="2154873"/>
                    </a:xfrm>
                    <a:prstGeom prst="rect">
                      <a:avLst/>
                    </a:prstGeom>
                  </pic:spPr>
                </pic:pic>
              </a:graphicData>
            </a:graphic>
          </wp:inline>
        </w:drawing>
      </w:r>
    </w:p>
    <w:p w14:paraId="2CE3CF0F" w14:textId="5216F199" w:rsidR="00D374EB" w:rsidRPr="004A592F" w:rsidRDefault="0060345E" w:rsidP="00154B44">
      <w:pPr>
        <w:pStyle w:val="Rrys"/>
      </w:pPr>
      <w:r w:rsidRPr="004A592F">
        <w:rPr>
          <w:b/>
        </w:rPr>
        <w:t>Fig</w:t>
      </w:r>
      <w:r w:rsidR="00154B44">
        <w:rPr>
          <w:b/>
        </w:rPr>
        <w:t>.</w:t>
      </w:r>
      <w:r w:rsidRPr="004A592F">
        <w:rPr>
          <w:b/>
        </w:rPr>
        <w:t xml:space="preserve"> </w:t>
      </w:r>
      <w:r w:rsidR="00D374EB" w:rsidRPr="004A592F">
        <w:rPr>
          <w:b/>
        </w:rPr>
        <w:t>1.</w:t>
      </w:r>
      <w:r w:rsidR="00D374EB" w:rsidRPr="004A592F">
        <w:t xml:space="preserve"> </w:t>
      </w:r>
      <w:proofErr w:type="spellStart"/>
      <w:r w:rsidRPr="004A592F">
        <w:t>Floor</w:t>
      </w:r>
      <w:proofErr w:type="spellEnd"/>
      <w:r w:rsidRPr="004A592F">
        <w:t xml:space="preserve"> plan of the </w:t>
      </w:r>
      <w:proofErr w:type="spellStart"/>
      <w:r w:rsidRPr="004A592F">
        <w:t>building</w:t>
      </w:r>
      <w:proofErr w:type="spellEnd"/>
    </w:p>
    <w:p w14:paraId="3A8B3536" w14:textId="77777777" w:rsidR="00D374EB" w:rsidRPr="004A592F" w:rsidRDefault="00D374EB" w:rsidP="00D374EB">
      <w:pPr>
        <w:spacing w:after="0" w:line="240" w:lineRule="auto"/>
        <w:ind w:firstLine="567"/>
        <w:jc w:val="both"/>
        <w:rPr>
          <w:rFonts w:ascii="Times New Roman" w:hAnsi="Times New Roman"/>
          <w:lang w:val="en-US"/>
        </w:rPr>
      </w:pPr>
    </w:p>
    <w:p w14:paraId="09852C64" w14:textId="7C3EB272" w:rsidR="00D374EB" w:rsidRPr="004A592F" w:rsidRDefault="0060345E" w:rsidP="00D374EB">
      <w:pPr>
        <w:spacing w:after="0" w:line="240" w:lineRule="auto"/>
        <w:ind w:firstLine="284"/>
        <w:jc w:val="both"/>
        <w:rPr>
          <w:rFonts w:ascii="Times New Roman" w:hAnsi="Times New Roman"/>
          <w:lang w:val="en-US"/>
        </w:rPr>
      </w:pPr>
      <w:r w:rsidRPr="004A592F">
        <w:rPr>
          <w:rFonts w:ascii="Times New Roman" w:hAnsi="Times New Roman"/>
          <w:lang w:val="en-US"/>
        </w:rPr>
        <w:t xml:space="preserve">Improvement of thermal protection to </w:t>
      </w:r>
      <w:r w:rsidR="00607161" w:rsidRPr="004A592F">
        <w:rPr>
          <w:rFonts w:ascii="Times New Roman" w:hAnsi="Times New Roman"/>
          <w:lang w:val="en-US"/>
        </w:rPr>
        <w:t>Levels I</w:t>
      </w:r>
      <w:r w:rsidRPr="004A592F">
        <w:rPr>
          <w:rFonts w:ascii="Times New Roman" w:hAnsi="Times New Roman"/>
          <w:lang w:val="en-US"/>
        </w:rPr>
        <w:t xml:space="preserve">I and III is achieved by insulating the building envelope and changing the thermal resistance for each building envelope in </w:t>
      </w:r>
      <w:proofErr w:type="spellStart"/>
      <w:r w:rsidRPr="004A592F">
        <w:rPr>
          <w:rFonts w:ascii="Times New Roman" w:hAnsi="Times New Roman"/>
          <w:lang w:val="en-US"/>
        </w:rPr>
        <w:t>DesignBuilder</w:t>
      </w:r>
      <w:proofErr w:type="spellEnd"/>
      <w:r w:rsidRPr="004A592F">
        <w:rPr>
          <w:rFonts w:ascii="Times New Roman" w:hAnsi="Times New Roman"/>
          <w:lang w:val="en-US"/>
        </w:rPr>
        <w:t xml:space="preserve"> </w:t>
      </w:r>
      <w:r w:rsidR="004D5C85">
        <w:rPr>
          <w:rFonts w:ascii="Times New Roman" w:hAnsi="Times New Roman"/>
          <w:lang w:val="en-US"/>
        </w:rPr>
        <w:t>by tracking</w:t>
      </w:r>
      <w:r w:rsidRPr="004A592F">
        <w:rPr>
          <w:rFonts w:ascii="Times New Roman" w:hAnsi="Times New Roman"/>
          <w:lang w:val="en-US"/>
        </w:rPr>
        <w:t xml:space="preserve"> mode</w:t>
      </w:r>
      <w:r w:rsidR="004D5C85">
        <w:rPr>
          <w:rFonts w:ascii="Times New Roman" w:hAnsi="Times New Roman"/>
          <w:lang w:val="en-US"/>
        </w:rPr>
        <w:t>l</w:t>
      </w:r>
      <w:r w:rsidRPr="004A592F">
        <w:rPr>
          <w:rFonts w:ascii="Times New Roman" w:hAnsi="Times New Roman"/>
          <w:lang w:val="en-US"/>
        </w:rPr>
        <w:t>ling results. The thermal resistance of the building envelope for Levels I, II, and III, as well as the heat supply requirements for the building, are shown in Table 1.</w:t>
      </w:r>
    </w:p>
    <w:p w14:paraId="5504AEA6" w14:textId="77777777" w:rsidR="00D374EB" w:rsidRPr="004A592F" w:rsidRDefault="00D374EB" w:rsidP="00D374EB">
      <w:pPr>
        <w:spacing w:after="0" w:line="240" w:lineRule="auto"/>
        <w:ind w:firstLine="284"/>
        <w:jc w:val="both"/>
        <w:rPr>
          <w:rFonts w:ascii="Times New Roman" w:hAnsi="Times New Roman"/>
          <w:lang w:val="en-US"/>
        </w:rPr>
      </w:pPr>
    </w:p>
    <w:p w14:paraId="1C7C3F77" w14:textId="277128E9" w:rsidR="00D374EB" w:rsidRPr="004A592F" w:rsidRDefault="0060345E" w:rsidP="00154B44">
      <w:pPr>
        <w:pStyle w:val="Rtab"/>
      </w:pPr>
      <w:proofErr w:type="spellStart"/>
      <w:r w:rsidRPr="004A592F">
        <w:rPr>
          <w:b/>
        </w:rPr>
        <w:t>Table</w:t>
      </w:r>
      <w:proofErr w:type="spellEnd"/>
      <w:r w:rsidR="00D374EB" w:rsidRPr="004A592F">
        <w:rPr>
          <w:b/>
        </w:rPr>
        <w:t xml:space="preserve"> 1.</w:t>
      </w:r>
      <w:r w:rsidR="00D374EB" w:rsidRPr="004A592F">
        <w:t xml:space="preserve"> </w:t>
      </w:r>
      <w:r w:rsidRPr="004A592F">
        <w:t xml:space="preserve">Technical and </w:t>
      </w:r>
      <w:proofErr w:type="spellStart"/>
      <w:r w:rsidRPr="004A592F">
        <w:t>physical</w:t>
      </w:r>
      <w:proofErr w:type="spellEnd"/>
      <w:r w:rsidRPr="004A592F">
        <w:t xml:space="preserve"> </w:t>
      </w:r>
      <w:proofErr w:type="spellStart"/>
      <w:r w:rsidRPr="004A592F">
        <w:t>parameters</w:t>
      </w:r>
      <w:proofErr w:type="spellEnd"/>
      <w:r w:rsidRPr="004A592F">
        <w:t xml:space="preserve"> of </w:t>
      </w:r>
      <w:proofErr w:type="spellStart"/>
      <w:r w:rsidRPr="004A592F">
        <w:t>building</w:t>
      </w:r>
      <w:proofErr w:type="spellEnd"/>
      <w:r w:rsidRPr="004A592F">
        <w:t xml:space="preserve"> </w:t>
      </w:r>
      <w:proofErr w:type="spellStart"/>
      <w:r w:rsidRPr="004A592F">
        <w:t>envelope</w:t>
      </w:r>
      <w:proofErr w:type="spellEnd"/>
      <w:r w:rsidRPr="004A592F">
        <w:t xml:space="preserve"> and </w:t>
      </w:r>
      <w:proofErr w:type="spellStart"/>
      <w:r w:rsidRPr="004A592F">
        <w:t>energy</w:t>
      </w:r>
      <w:proofErr w:type="spellEnd"/>
      <w:r w:rsidRPr="004A592F">
        <w:t xml:space="preserve"> </w:t>
      </w:r>
      <w:proofErr w:type="spellStart"/>
      <w:r w:rsidRPr="004A592F">
        <w:t>characteristics</w:t>
      </w:r>
      <w:proofErr w:type="spellEnd"/>
      <w:r w:rsidRPr="004A592F">
        <w:t xml:space="preserve"> </w:t>
      </w:r>
      <w:proofErr w:type="spellStart"/>
      <w:r w:rsidRPr="004A592F">
        <w:t>at</w:t>
      </w:r>
      <w:proofErr w:type="spellEnd"/>
      <w:r w:rsidRPr="004A592F">
        <w:t xml:space="preserve"> </w:t>
      </w:r>
      <w:proofErr w:type="spellStart"/>
      <w:r w:rsidRPr="004A592F">
        <w:t>different</w:t>
      </w:r>
      <w:proofErr w:type="spellEnd"/>
      <w:r w:rsidRPr="004A592F">
        <w:t xml:space="preserve"> </w:t>
      </w:r>
      <w:proofErr w:type="spellStart"/>
      <w:r w:rsidRPr="004A592F">
        <w:t>levels</w:t>
      </w:r>
      <w:proofErr w:type="spellEnd"/>
      <w:r w:rsidRPr="004A592F">
        <w:t xml:space="preserve"> of </w:t>
      </w:r>
      <w:proofErr w:type="spellStart"/>
      <w:r w:rsidRPr="004A592F">
        <w:t>thermal</w:t>
      </w:r>
      <w:proofErr w:type="spellEnd"/>
      <w:r w:rsidRPr="004A592F">
        <w:t xml:space="preserve"> </w:t>
      </w:r>
      <w:proofErr w:type="spellStart"/>
      <w:r w:rsidRPr="004A592F">
        <w:t>protection</w:t>
      </w:r>
      <w:proofErr w:type="spellEnd"/>
    </w:p>
    <w:tbl>
      <w:tblPr>
        <w:tblW w:w="9639" w:type="dxa"/>
        <w:tblInd w:w="108" w:type="dxa"/>
        <w:tblLayout w:type="fixed"/>
        <w:tblLook w:val="04A0" w:firstRow="1" w:lastRow="0" w:firstColumn="1" w:lastColumn="0" w:noHBand="0" w:noVBand="1"/>
      </w:tblPr>
      <w:tblGrid>
        <w:gridCol w:w="1102"/>
        <w:gridCol w:w="990"/>
        <w:gridCol w:w="1452"/>
        <w:gridCol w:w="979"/>
        <w:gridCol w:w="854"/>
        <w:gridCol w:w="6"/>
        <w:gridCol w:w="841"/>
        <w:gridCol w:w="850"/>
        <w:gridCol w:w="710"/>
        <w:gridCol w:w="1005"/>
        <w:gridCol w:w="850"/>
      </w:tblGrid>
      <w:tr w:rsidR="004001F5" w:rsidRPr="00154B44" w14:paraId="2158BD73" w14:textId="77777777" w:rsidTr="006F4717">
        <w:trPr>
          <w:cantSplit/>
          <w:trHeight w:val="340"/>
        </w:trPr>
        <w:tc>
          <w:tcPr>
            <w:tcW w:w="110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9B6E54" w14:textId="5315363E" w:rsidR="004001F5" w:rsidRPr="00154B44" w:rsidRDefault="004001F5" w:rsidP="006F4717">
            <w:pPr>
              <w:spacing w:after="0" w:line="240" w:lineRule="auto"/>
              <w:ind w:left="113" w:right="113"/>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 xml:space="preserve">Level of thermal </w:t>
            </w:r>
            <w:r w:rsidR="006F4717">
              <w:rPr>
                <w:rFonts w:ascii="Times New Roman" w:eastAsia="Times New Roman" w:hAnsi="Times New Roman"/>
                <w:bCs/>
                <w:color w:val="000000"/>
                <w:lang w:val="en-US"/>
              </w:rPr>
              <w:br/>
            </w:r>
            <w:r w:rsidRPr="00154B44">
              <w:rPr>
                <w:rFonts w:ascii="Times New Roman" w:eastAsia="Times New Roman" w:hAnsi="Times New Roman"/>
                <w:bCs/>
                <w:color w:val="000000"/>
                <w:lang w:val="en-US"/>
              </w:rPr>
              <w:t xml:space="preserve">protection </w:t>
            </w:r>
            <w:r w:rsidR="006F4717">
              <w:rPr>
                <w:rFonts w:ascii="Times New Roman" w:eastAsia="Times New Roman" w:hAnsi="Times New Roman"/>
                <w:bCs/>
                <w:color w:val="000000"/>
                <w:lang w:val="en-US"/>
              </w:rPr>
              <w:br/>
            </w:r>
            <w:r w:rsidRPr="00154B44">
              <w:rPr>
                <w:rFonts w:ascii="Times New Roman" w:eastAsia="Times New Roman" w:hAnsi="Times New Roman"/>
                <w:bCs/>
                <w:color w:val="000000"/>
                <w:lang w:val="en-US"/>
              </w:rPr>
              <w:t>of the building</w:t>
            </w:r>
          </w:p>
        </w:tc>
        <w:tc>
          <w:tcPr>
            <w:tcW w:w="6682" w:type="dxa"/>
            <w:gridSpan w:val="8"/>
            <w:tcBorders>
              <w:top w:val="single" w:sz="4" w:space="0" w:color="auto"/>
              <w:left w:val="nil"/>
              <w:bottom w:val="single" w:sz="4" w:space="0" w:color="auto"/>
              <w:right w:val="single" w:sz="4" w:space="0" w:color="auto"/>
            </w:tcBorders>
            <w:shd w:val="clear" w:color="auto" w:fill="auto"/>
            <w:noWrap/>
            <w:vAlign w:val="center"/>
            <w:hideMark/>
          </w:tcPr>
          <w:p w14:paraId="16E46BE7" w14:textId="77777777" w:rsidR="004001F5" w:rsidRPr="00154B44" w:rsidRDefault="004001F5" w:rsidP="0060345E">
            <w:pPr>
              <w:spacing w:after="0" w:line="240" w:lineRule="auto"/>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Thermal resistance of the building envelope, R, m²·°C/W</w:t>
            </w:r>
          </w:p>
        </w:tc>
        <w:tc>
          <w:tcPr>
            <w:tcW w:w="1005"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540C3929" w14:textId="77777777" w:rsidR="004001F5" w:rsidRPr="00154B44" w:rsidRDefault="004001F5" w:rsidP="006F4717">
            <w:pPr>
              <w:spacing w:after="0" w:line="240" w:lineRule="auto"/>
              <w:ind w:left="113" w:right="113"/>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Energy consumption for heating, MWh</w:t>
            </w:r>
          </w:p>
        </w:tc>
        <w:tc>
          <w:tcPr>
            <w:tcW w:w="850" w:type="dxa"/>
            <w:vMerge w:val="restart"/>
            <w:tcBorders>
              <w:top w:val="single" w:sz="4" w:space="0" w:color="auto"/>
              <w:left w:val="single" w:sz="4" w:space="0" w:color="auto"/>
              <w:right w:val="single" w:sz="4" w:space="0" w:color="auto"/>
            </w:tcBorders>
            <w:textDirection w:val="btLr"/>
            <w:vAlign w:val="center"/>
          </w:tcPr>
          <w:p w14:paraId="4DAA8262" w14:textId="2ACC6E43" w:rsidR="004001F5" w:rsidRPr="00154B44" w:rsidRDefault="004001F5" w:rsidP="006F4717">
            <w:pPr>
              <w:spacing w:after="0" w:line="240" w:lineRule="auto"/>
              <w:ind w:left="113" w:right="113"/>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Heat consumption, kWh/year/m</w:t>
            </w:r>
            <w:r w:rsidRPr="00154B44">
              <w:rPr>
                <w:rFonts w:ascii="Times New Roman" w:eastAsia="Times New Roman" w:hAnsi="Times New Roman"/>
                <w:bCs/>
                <w:color w:val="000000"/>
                <w:vertAlign w:val="superscript"/>
                <w:lang w:val="en-US"/>
              </w:rPr>
              <w:t>3</w:t>
            </w:r>
          </w:p>
        </w:tc>
      </w:tr>
      <w:tr w:rsidR="004001F5" w:rsidRPr="00154B44" w14:paraId="196BF4D2" w14:textId="77777777" w:rsidTr="006F4717">
        <w:trPr>
          <w:trHeight w:val="288"/>
        </w:trPr>
        <w:tc>
          <w:tcPr>
            <w:tcW w:w="1102" w:type="dxa"/>
            <w:vMerge/>
            <w:tcBorders>
              <w:top w:val="single" w:sz="4" w:space="0" w:color="auto"/>
              <w:left w:val="single" w:sz="4" w:space="0" w:color="auto"/>
              <w:bottom w:val="single" w:sz="4" w:space="0" w:color="auto"/>
              <w:right w:val="single" w:sz="4" w:space="0" w:color="auto"/>
            </w:tcBorders>
            <w:vAlign w:val="center"/>
            <w:hideMark/>
          </w:tcPr>
          <w:p w14:paraId="6468A211" w14:textId="77777777" w:rsidR="004001F5" w:rsidRPr="00154B44" w:rsidRDefault="004001F5" w:rsidP="00D374EB">
            <w:pPr>
              <w:spacing w:after="0" w:line="240" w:lineRule="auto"/>
              <w:jc w:val="center"/>
              <w:rPr>
                <w:rFonts w:ascii="Times New Roman" w:eastAsia="Times New Roman" w:hAnsi="Times New Roman"/>
                <w:bCs/>
                <w:color w:val="000000"/>
                <w:lang w:val="en-US"/>
              </w:rPr>
            </w:pP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1D1E5659" w14:textId="77777777" w:rsidR="004001F5" w:rsidRPr="00154B44" w:rsidRDefault="004001F5" w:rsidP="00D374EB">
            <w:pPr>
              <w:spacing w:after="0" w:line="240" w:lineRule="auto"/>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Outer walls</w:t>
            </w:r>
          </w:p>
        </w:tc>
        <w:tc>
          <w:tcPr>
            <w:tcW w:w="145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FE34496" w14:textId="6FCED17F" w:rsidR="004001F5" w:rsidRPr="00154B44" w:rsidRDefault="004001F5" w:rsidP="006F4717">
            <w:pPr>
              <w:spacing w:after="0" w:line="240" w:lineRule="auto"/>
              <w:ind w:left="113" w:right="113"/>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 xml:space="preserve">Overlaps over driveways </w:t>
            </w:r>
            <w:r w:rsidR="006F4717">
              <w:rPr>
                <w:rFonts w:ascii="Times New Roman" w:eastAsia="Times New Roman" w:hAnsi="Times New Roman"/>
                <w:bCs/>
                <w:color w:val="000000"/>
                <w:lang w:val="en-US"/>
              </w:rPr>
              <w:br/>
            </w:r>
            <w:r w:rsidRPr="00154B44">
              <w:rPr>
                <w:rFonts w:ascii="Times New Roman" w:eastAsia="Times New Roman" w:hAnsi="Times New Roman"/>
                <w:bCs/>
                <w:color w:val="000000"/>
                <w:lang w:val="en-US"/>
              </w:rPr>
              <w:t>and unheated basements</w:t>
            </w:r>
          </w:p>
        </w:tc>
        <w:tc>
          <w:tcPr>
            <w:tcW w:w="1839" w:type="dxa"/>
            <w:gridSpan w:val="3"/>
            <w:tcBorders>
              <w:top w:val="single" w:sz="4" w:space="0" w:color="auto"/>
              <w:left w:val="nil"/>
              <w:bottom w:val="single" w:sz="4" w:space="0" w:color="auto"/>
              <w:right w:val="single" w:sz="4" w:space="0" w:color="auto"/>
            </w:tcBorders>
            <w:shd w:val="clear" w:color="auto" w:fill="auto"/>
            <w:vAlign w:val="center"/>
            <w:hideMark/>
          </w:tcPr>
          <w:p w14:paraId="3CCB076F" w14:textId="74E5B137" w:rsidR="004001F5" w:rsidRPr="00154B44" w:rsidRDefault="004001F5" w:rsidP="00D374EB">
            <w:pPr>
              <w:spacing w:after="0" w:line="240" w:lineRule="auto"/>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 xml:space="preserve">Translucent </w:t>
            </w:r>
            <w:r w:rsidR="006F4717">
              <w:rPr>
                <w:rFonts w:ascii="Times New Roman" w:eastAsia="Times New Roman" w:hAnsi="Times New Roman"/>
                <w:bCs/>
                <w:color w:val="000000"/>
                <w:lang w:val="en-US"/>
              </w:rPr>
              <w:br/>
            </w:r>
            <w:r w:rsidRPr="00154B44">
              <w:rPr>
                <w:rFonts w:ascii="Times New Roman" w:eastAsia="Times New Roman" w:hAnsi="Times New Roman"/>
                <w:bCs/>
                <w:color w:val="000000"/>
                <w:lang w:val="en-US"/>
              </w:rPr>
              <w:t>structures</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14:paraId="53E8F81A" w14:textId="77777777" w:rsidR="004001F5" w:rsidRPr="00154B44" w:rsidRDefault="004001F5" w:rsidP="00D374EB">
            <w:pPr>
              <w:spacing w:after="0" w:line="240" w:lineRule="auto"/>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External doors</w:t>
            </w:r>
          </w:p>
        </w:tc>
        <w:tc>
          <w:tcPr>
            <w:tcW w:w="710" w:type="dxa"/>
            <w:vMerge w:val="restart"/>
            <w:tcBorders>
              <w:top w:val="nil"/>
              <w:left w:val="single" w:sz="4" w:space="0" w:color="auto"/>
              <w:right w:val="single" w:sz="4" w:space="0" w:color="auto"/>
            </w:tcBorders>
            <w:shd w:val="clear" w:color="auto" w:fill="auto"/>
            <w:vAlign w:val="center"/>
            <w:hideMark/>
          </w:tcPr>
          <w:p w14:paraId="2B82E1ED" w14:textId="77777777" w:rsidR="004001F5" w:rsidRPr="00154B44" w:rsidRDefault="004001F5" w:rsidP="00D374EB">
            <w:pPr>
              <w:spacing w:after="0" w:line="240" w:lineRule="auto"/>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Roof</w:t>
            </w:r>
          </w:p>
        </w:tc>
        <w:tc>
          <w:tcPr>
            <w:tcW w:w="1005" w:type="dxa"/>
            <w:vMerge/>
            <w:tcBorders>
              <w:left w:val="single" w:sz="4" w:space="0" w:color="auto"/>
              <w:right w:val="single" w:sz="4" w:space="0" w:color="auto"/>
            </w:tcBorders>
            <w:vAlign w:val="center"/>
            <w:hideMark/>
          </w:tcPr>
          <w:p w14:paraId="57220AD3" w14:textId="77777777" w:rsidR="004001F5" w:rsidRPr="00154B44" w:rsidRDefault="004001F5" w:rsidP="004001F5">
            <w:pPr>
              <w:spacing w:after="0" w:line="240" w:lineRule="auto"/>
              <w:jc w:val="center"/>
              <w:rPr>
                <w:rFonts w:ascii="Times New Roman" w:eastAsia="Times New Roman" w:hAnsi="Times New Roman"/>
                <w:bCs/>
                <w:color w:val="000000"/>
                <w:lang w:val="en-US"/>
              </w:rPr>
            </w:pPr>
          </w:p>
        </w:tc>
        <w:tc>
          <w:tcPr>
            <w:tcW w:w="850" w:type="dxa"/>
            <w:vMerge/>
            <w:tcBorders>
              <w:left w:val="single" w:sz="4" w:space="0" w:color="auto"/>
              <w:right w:val="single" w:sz="4" w:space="0" w:color="auto"/>
            </w:tcBorders>
            <w:vAlign w:val="center"/>
          </w:tcPr>
          <w:p w14:paraId="500636AA" w14:textId="77777777" w:rsidR="004001F5" w:rsidRPr="00154B44" w:rsidRDefault="004001F5" w:rsidP="004001F5">
            <w:pPr>
              <w:spacing w:after="0" w:line="240" w:lineRule="auto"/>
              <w:jc w:val="center"/>
              <w:rPr>
                <w:rFonts w:ascii="Times New Roman" w:eastAsia="Times New Roman" w:hAnsi="Times New Roman"/>
                <w:bCs/>
                <w:color w:val="000000"/>
                <w:lang w:val="en-US"/>
              </w:rPr>
            </w:pPr>
          </w:p>
        </w:tc>
      </w:tr>
      <w:tr w:rsidR="004001F5" w:rsidRPr="00154B44" w14:paraId="7ECF424E" w14:textId="77777777" w:rsidTr="006F4717">
        <w:trPr>
          <w:trHeight w:val="1324"/>
        </w:trPr>
        <w:tc>
          <w:tcPr>
            <w:tcW w:w="1102" w:type="dxa"/>
            <w:vMerge/>
            <w:tcBorders>
              <w:top w:val="single" w:sz="4" w:space="0" w:color="auto"/>
              <w:left w:val="single" w:sz="4" w:space="0" w:color="auto"/>
              <w:bottom w:val="single" w:sz="4" w:space="0" w:color="auto"/>
              <w:right w:val="single" w:sz="4" w:space="0" w:color="auto"/>
            </w:tcBorders>
            <w:vAlign w:val="center"/>
            <w:hideMark/>
          </w:tcPr>
          <w:p w14:paraId="5D9BE6B1" w14:textId="77777777" w:rsidR="004001F5" w:rsidRPr="00154B44" w:rsidRDefault="004001F5" w:rsidP="00D374EB">
            <w:pPr>
              <w:spacing w:after="0" w:line="240" w:lineRule="auto"/>
              <w:jc w:val="center"/>
              <w:rPr>
                <w:rFonts w:ascii="Times New Roman" w:eastAsia="Times New Roman" w:hAnsi="Times New Roman"/>
                <w:bCs/>
                <w:color w:val="000000"/>
                <w:lang w:val="en-US"/>
              </w:rPr>
            </w:pPr>
          </w:p>
        </w:tc>
        <w:tc>
          <w:tcPr>
            <w:tcW w:w="990" w:type="dxa"/>
            <w:vMerge/>
            <w:tcBorders>
              <w:top w:val="nil"/>
              <w:left w:val="single" w:sz="4" w:space="0" w:color="auto"/>
              <w:bottom w:val="single" w:sz="4" w:space="0" w:color="auto"/>
              <w:right w:val="single" w:sz="4" w:space="0" w:color="auto"/>
            </w:tcBorders>
            <w:vAlign w:val="center"/>
            <w:hideMark/>
          </w:tcPr>
          <w:p w14:paraId="40EDFC4D" w14:textId="77777777" w:rsidR="004001F5" w:rsidRPr="00154B44" w:rsidRDefault="004001F5" w:rsidP="00D374EB">
            <w:pPr>
              <w:spacing w:after="0" w:line="240" w:lineRule="auto"/>
              <w:jc w:val="center"/>
              <w:rPr>
                <w:rFonts w:ascii="Times New Roman" w:eastAsia="Times New Roman" w:hAnsi="Times New Roman"/>
                <w:bCs/>
                <w:color w:val="000000"/>
                <w:lang w:val="en-US"/>
              </w:rPr>
            </w:pPr>
          </w:p>
        </w:tc>
        <w:tc>
          <w:tcPr>
            <w:tcW w:w="1452" w:type="dxa"/>
            <w:vMerge/>
            <w:tcBorders>
              <w:top w:val="nil"/>
              <w:left w:val="single" w:sz="4" w:space="0" w:color="auto"/>
              <w:bottom w:val="single" w:sz="4" w:space="0" w:color="auto"/>
              <w:right w:val="single" w:sz="4" w:space="0" w:color="auto"/>
            </w:tcBorders>
            <w:vAlign w:val="center"/>
            <w:hideMark/>
          </w:tcPr>
          <w:p w14:paraId="04F4F450" w14:textId="77777777" w:rsidR="004001F5" w:rsidRPr="00154B44" w:rsidRDefault="004001F5" w:rsidP="00D374EB">
            <w:pPr>
              <w:spacing w:after="0" w:line="240" w:lineRule="auto"/>
              <w:jc w:val="center"/>
              <w:rPr>
                <w:rFonts w:ascii="Times New Roman" w:eastAsia="Times New Roman" w:hAnsi="Times New Roman"/>
                <w:bCs/>
                <w:color w:val="000000"/>
                <w:lang w:val="en-US"/>
              </w:rPr>
            </w:pPr>
          </w:p>
        </w:tc>
        <w:tc>
          <w:tcPr>
            <w:tcW w:w="979" w:type="dxa"/>
            <w:tcBorders>
              <w:top w:val="nil"/>
              <w:left w:val="nil"/>
              <w:bottom w:val="single" w:sz="4" w:space="0" w:color="auto"/>
              <w:right w:val="single" w:sz="4" w:space="0" w:color="auto"/>
            </w:tcBorders>
            <w:shd w:val="clear" w:color="auto" w:fill="auto"/>
            <w:vAlign w:val="center"/>
            <w:hideMark/>
          </w:tcPr>
          <w:p w14:paraId="444D487A" w14:textId="77777777" w:rsidR="004001F5" w:rsidRPr="00154B44" w:rsidRDefault="004001F5" w:rsidP="00D374EB">
            <w:pPr>
              <w:spacing w:after="0" w:line="240" w:lineRule="auto"/>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Metal-plastic</w:t>
            </w:r>
          </w:p>
        </w:tc>
        <w:tc>
          <w:tcPr>
            <w:tcW w:w="854" w:type="dxa"/>
            <w:tcBorders>
              <w:top w:val="nil"/>
              <w:left w:val="nil"/>
              <w:bottom w:val="single" w:sz="4" w:space="0" w:color="auto"/>
              <w:right w:val="single" w:sz="4" w:space="0" w:color="auto"/>
            </w:tcBorders>
            <w:shd w:val="clear" w:color="auto" w:fill="auto"/>
            <w:vAlign w:val="center"/>
            <w:hideMark/>
          </w:tcPr>
          <w:p w14:paraId="63E238A0" w14:textId="77777777" w:rsidR="004001F5" w:rsidRPr="00154B44" w:rsidRDefault="004001F5" w:rsidP="00D374EB">
            <w:pPr>
              <w:spacing w:after="0" w:line="240" w:lineRule="auto"/>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Glass blocks</w:t>
            </w:r>
          </w:p>
        </w:tc>
        <w:tc>
          <w:tcPr>
            <w:tcW w:w="847" w:type="dxa"/>
            <w:gridSpan w:val="2"/>
            <w:tcBorders>
              <w:top w:val="nil"/>
              <w:left w:val="nil"/>
              <w:bottom w:val="single" w:sz="4" w:space="0" w:color="auto"/>
              <w:right w:val="single" w:sz="4" w:space="0" w:color="auto"/>
            </w:tcBorders>
            <w:shd w:val="clear" w:color="auto" w:fill="auto"/>
            <w:vAlign w:val="center"/>
            <w:hideMark/>
          </w:tcPr>
          <w:p w14:paraId="78A336D3" w14:textId="77777777" w:rsidR="004001F5" w:rsidRPr="00154B44" w:rsidRDefault="004001F5" w:rsidP="00D374EB">
            <w:pPr>
              <w:spacing w:after="0" w:line="240" w:lineRule="auto"/>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Metal-plastic</w:t>
            </w:r>
          </w:p>
        </w:tc>
        <w:tc>
          <w:tcPr>
            <w:tcW w:w="850" w:type="dxa"/>
            <w:tcBorders>
              <w:top w:val="nil"/>
              <w:left w:val="nil"/>
              <w:bottom w:val="single" w:sz="4" w:space="0" w:color="auto"/>
              <w:right w:val="single" w:sz="4" w:space="0" w:color="auto"/>
            </w:tcBorders>
            <w:shd w:val="clear" w:color="auto" w:fill="auto"/>
            <w:vAlign w:val="center"/>
            <w:hideMark/>
          </w:tcPr>
          <w:p w14:paraId="287B41A7" w14:textId="77777777" w:rsidR="004001F5" w:rsidRPr="00154B44" w:rsidRDefault="004001F5" w:rsidP="00D374EB">
            <w:pPr>
              <w:spacing w:after="0" w:line="240" w:lineRule="auto"/>
              <w:jc w:val="center"/>
              <w:rPr>
                <w:rFonts w:ascii="Times New Roman" w:eastAsia="Times New Roman" w:hAnsi="Times New Roman"/>
                <w:bCs/>
                <w:color w:val="000000"/>
                <w:lang w:val="en-US"/>
              </w:rPr>
            </w:pPr>
            <w:r w:rsidRPr="00154B44">
              <w:rPr>
                <w:rFonts w:ascii="Times New Roman" w:eastAsia="Times New Roman" w:hAnsi="Times New Roman"/>
                <w:bCs/>
                <w:color w:val="000000"/>
                <w:lang w:val="en-US"/>
              </w:rPr>
              <w:t>Metal</w:t>
            </w:r>
          </w:p>
        </w:tc>
        <w:tc>
          <w:tcPr>
            <w:tcW w:w="710" w:type="dxa"/>
            <w:vMerge/>
            <w:tcBorders>
              <w:left w:val="single" w:sz="4" w:space="0" w:color="auto"/>
              <w:bottom w:val="single" w:sz="4" w:space="0" w:color="auto"/>
              <w:right w:val="single" w:sz="4" w:space="0" w:color="auto"/>
            </w:tcBorders>
            <w:vAlign w:val="center"/>
            <w:hideMark/>
          </w:tcPr>
          <w:p w14:paraId="1B926708" w14:textId="77777777" w:rsidR="004001F5" w:rsidRPr="00154B44" w:rsidRDefault="004001F5" w:rsidP="00D374EB">
            <w:pPr>
              <w:spacing w:after="0" w:line="240" w:lineRule="auto"/>
              <w:jc w:val="center"/>
              <w:rPr>
                <w:rFonts w:ascii="Times New Roman" w:eastAsia="Times New Roman" w:hAnsi="Times New Roman"/>
                <w:bCs/>
                <w:color w:val="000000"/>
                <w:lang w:val="en-US"/>
              </w:rPr>
            </w:pPr>
          </w:p>
        </w:tc>
        <w:tc>
          <w:tcPr>
            <w:tcW w:w="1005" w:type="dxa"/>
            <w:vMerge/>
            <w:tcBorders>
              <w:left w:val="single" w:sz="4" w:space="0" w:color="auto"/>
              <w:bottom w:val="single" w:sz="4" w:space="0" w:color="auto"/>
              <w:right w:val="single" w:sz="4" w:space="0" w:color="auto"/>
            </w:tcBorders>
            <w:vAlign w:val="center"/>
            <w:hideMark/>
          </w:tcPr>
          <w:p w14:paraId="5A875CB2" w14:textId="77777777" w:rsidR="004001F5" w:rsidRPr="00154B44" w:rsidRDefault="004001F5" w:rsidP="004001F5">
            <w:pPr>
              <w:spacing w:after="0" w:line="240" w:lineRule="auto"/>
              <w:jc w:val="center"/>
              <w:rPr>
                <w:rFonts w:ascii="Times New Roman" w:eastAsia="Times New Roman" w:hAnsi="Times New Roman"/>
                <w:bCs/>
                <w:color w:val="000000"/>
                <w:lang w:val="en-US"/>
              </w:rPr>
            </w:pPr>
          </w:p>
        </w:tc>
        <w:tc>
          <w:tcPr>
            <w:tcW w:w="850" w:type="dxa"/>
            <w:vMerge/>
            <w:tcBorders>
              <w:left w:val="single" w:sz="4" w:space="0" w:color="auto"/>
              <w:bottom w:val="single" w:sz="4" w:space="0" w:color="auto"/>
              <w:right w:val="single" w:sz="4" w:space="0" w:color="auto"/>
            </w:tcBorders>
            <w:vAlign w:val="center"/>
          </w:tcPr>
          <w:p w14:paraId="15FBFAC0" w14:textId="77777777" w:rsidR="004001F5" w:rsidRPr="00154B44" w:rsidRDefault="004001F5" w:rsidP="004001F5">
            <w:pPr>
              <w:spacing w:after="0" w:line="240" w:lineRule="auto"/>
              <w:jc w:val="center"/>
              <w:rPr>
                <w:rFonts w:ascii="Times New Roman" w:eastAsia="Times New Roman" w:hAnsi="Times New Roman"/>
                <w:bCs/>
                <w:color w:val="000000"/>
                <w:lang w:val="en-US"/>
              </w:rPr>
            </w:pPr>
          </w:p>
        </w:tc>
      </w:tr>
      <w:tr w:rsidR="00D374EB" w:rsidRPr="004A592F" w14:paraId="0304F355" w14:textId="77777777" w:rsidTr="00154B44">
        <w:trPr>
          <w:trHeight w:val="34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702FB121"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w:t>
            </w:r>
          </w:p>
        </w:tc>
        <w:tc>
          <w:tcPr>
            <w:tcW w:w="990" w:type="dxa"/>
            <w:tcBorders>
              <w:top w:val="nil"/>
              <w:left w:val="nil"/>
              <w:bottom w:val="single" w:sz="4" w:space="0" w:color="auto"/>
              <w:right w:val="single" w:sz="4" w:space="0" w:color="auto"/>
            </w:tcBorders>
            <w:shd w:val="clear" w:color="auto" w:fill="auto"/>
            <w:noWrap/>
            <w:vAlign w:val="center"/>
            <w:hideMark/>
          </w:tcPr>
          <w:p w14:paraId="70AB367F"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36</w:t>
            </w:r>
          </w:p>
        </w:tc>
        <w:tc>
          <w:tcPr>
            <w:tcW w:w="1452" w:type="dxa"/>
            <w:tcBorders>
              <w:top w:val="nil"/>
              <w:left w:val="nil"/>
              <w:bottom w:val="single" w:sz="4" w:space="0" w:color="auto"/>
              <w:right w:val="single" w:sz="4" w:space="0" w:color="auto"/>
            </w:tcBorders>
            <w:shd w:val="clear" w:color="auto" w:fill="auto"/>
            <w:noWrap/>
            <w:vAlign w:val="center"/>
            <w:hideMark/>
          </w:tcPr>
          <w:p w14:paraId="73569B8C"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0</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37</w:t>
            </w:r>
          </w:p>
        </w:tc>
        <w:tc>
          <w:tcPr>
            <w:tcW w:w="979" w:type="dxa"/>
            <w:tcBorders>
              <w:top w:val="nil"/>
              <w:left w:val="nil"/>
              <w:bottom w:val="single" w:sz="4" w:space="0" w:color="auto"/>
              <w:right w:val="single" w:sz="4" w:space="0" w:color="auto"/>
            </w:tcBorders>
            <w:shd w:val="clear" w:color="auto" w:fill="auto"/>
            <w:noWrap/>
            <w:vAlign w:val="center"/>
            <w:hideMark/>
          </w:tcPr>
          <w:p w14:paraId="5C9A3BF9" w14:textId="732E3095"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0</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r w:rsidR="009A7604">
              <w:rPr>
                <w:rFonts w:ascii="Times New Roman" w:eastAsia="Times New Roman" w:hAnsi="Times New Roman"/>
                <w:color w:val="000000"/>
                <w:lang w:val="en-US"/>
              </w:rPr>
              <w:t>0</w:t>
            </w:r>
          </w:p>
        </w:tc>
        <w:tc>
          <w:tcPr>
            <w:tcW w:w="854" w:type="dxa"/>
            <w:tcBorders>
              <w:top w:val="nil"/>
              <w:left w:val="nil"/>
              <w:bottom w:val="single" w:sz="4" w:space="0" w:color="auto"/>
              <w:right w:val="single" w:sz="4" w:space="0" w:color="auto"/>
            </w:tcBorders>
            <w:shd w:val="clear" w:color="auto" w:fill="auto"/>
            <w:noWrap/>
            <w:vAlign w:val="center"/>
            <w:hideMark/>
          </w:tcPr>
          <w:p w14:paraId="23FBB1E0" w14:textId="4E0AA982"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0</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r w:rsidR="009A7604">
              <w:rPr>
                <w:rFonts w:ascii="Times New Roman" w:eastAsia="Times New Roman" w:hAnsi="Times New Roman"/>
                <w:color w:val="000000"/>
                <w:lang w:val="en-US"/>
              </w:rPr>
              <w:t>0</w:t>
            </w:r>
          </w:p>
        </w:tc>
        <w:tc>
          <w:tcPr>
            <w:tcW w:w="847" w:type="dxa"/>
            <w:gridSpan w:val="2"/>
            <w:tcBorders>
              <w:top w:val="nil"/>
              <w:left w:val="nil"/>
              <w:bottom w:val="single" w:sz="4" w:space="0" w:color="auto"/>
              <w:right w:val="single" w:sz="4" w:space="0" w:color="auto"/>
            </w:tcBorders>
            <w:shd w:val="clear" w:color="auto" w:fill="auto"/>
            <w:noWrap/>
            <w:vAlign w:val="center"/>
            <w:hideMark/>
          </w:tcPr>
          <w:p w14:paraId="09E39FDE" w14:textId="0A15B0EE"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0</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r w:rsidR="009A7604">
              <w:rPr>
                <w:rFonts w:ascii="Times New Roman" w:eastAsia="Times New Roman" w:hAnsi="Times New Roman"/>
                <w:color w:val="000000"/>
                <w:lang w:val="en-US"/>
              </w:rPr>
              <w:t>0</w:t>
            </w:r>
          </w:p>
        </w:tc>
        <w:tc>
          <w:tcPr>
            <w:tcW w:w="850" w:type="dxa"/>
            <w:tcBorders>
              <w:top w:val="nil"/>
              <w:left w:val="nil"/>
              <w:bottom w:val="single" w:sz="4" w:space="0" w:color="auto"/>
              <w:right w:val="single" w:sz="4" w:space="0" w:color="auto"/>
            </w:tcBorders>
            <w:shd w:val="clear" w:color="auto" w:fill="auto"/>
            <w:noWrap/>
            <w:vAlign w:val="center"/>
            <w:hideMark/>
          </w:tcPr>
          <w:p w14:paraId="7C78B1AE" w14:textId="7D313F9F"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0</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r w:rsidR="009A7604">
              <w:rPr>
                <w:rFonts w:ascii="Times New Roman" w:eastAsia="Times New Roman" w:hAnsi="Times New Roman"/>
                <w:color w:val="000000"/>
                <w:lang w:val="en-US"/>
              </w:rPr>
              <w:t>0</w:t>
            </w:r>
          </w:p>
        </w:tc>
        <w:tc>
          <w:tcPr>
            <w:tcW w:w="710" w:type="dxa"/>
            <w:tcBorders>
              <w:top w:val="nil"/>
              <w:left w:val="nil"/>
              <w:bottom w:val="single" w:sz="4" w:space="0" w:color="auto"/>
              <w:right w:val="single" w:sz="4" w:space="0" w:color="auto"/>
            </w:tcBorders>
            <w:shd w:val="clear" w:color="auto" w:fill="auto"/>
            <w:noWrap/>
            <w:vAlign w:val="center"/>
            <w:hideMark/>
          </w:tcPr>
          <w:p w14:paraId="3D455C98" w14:textId="45D4FC44"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0</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r w:rsidR="009A7604">
              <w:rPr>
                <w:rFonts w:ascii="Times New Roman" w:eastAsia="Times New Roman" w:hAnsi="Times New Roman"/>
                <w:color w:val="000000"/>
                <w:lang w:val="en-US"/>
              </w:rPr>
              <w:t>0</w:t>
            </w:r>
          </w:p>
        </w:tc>
        <w:tc>
          <w:tcPr>
            <w:tcW w:w="1005" w:type="dxa"/>
            <w:tcBorders>
              <w:top w:val="nil"/>
              <w:left w:val="nil"/>
              <w:bottom w:val="single" w:sz="4" w:space="0" w:color="auto"/>
              <w:right w:val="single" w:sz="4" w:space="0" w:color="auto"/>
            </w:tcBorders>
            <w:shd w:val="clear" w:color="auto" w:fill="auto"/>
            <w:noWrap/>
            <w:vAlign w:val="center"/>
            <w:hideMark/>
          </w:tcPr>
          <w:p w14:paraId="28FDFAC7" w14:textId="3A049522" w:rsidR="00D374EB" w:rsidRPr="004A592F" w:rsidRDefault="00D374EB" w:rsidP="00CB05BC">
            <w:pPr>
              <w:spacing w:after="0" w:line="240" w:lineRule="auto"/>
              <w:ind w:right="113"/>
              <w:jc w:val="right"/>
              <w:rPr>
                <w:rFonts w:ascii="Times New Roman" w:eastAsia="Times New Roman" w:hAnsi="Times New Roman"/>
                <w:color w:val="000000"/>
                <w:lang w:val="en-US"/>
              </w:rPr>
            </w:pPr>
            <w:r w:rsidRPr="004A592F">
              <w:rPr>
                <w:rFonts w:ascii="Times New Roman" w:eastAsia="Times New Roman" w:hAnsi="Times New Roman"/>
                <w:color w:val="000000"/>
                <w:lang w:val="en-US"/>
              </w:rPr>
              <w:t>411</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50" w:type="dxa"/>
            <w:tcBorders>
              <w:top w:val="nil"/>
              <w:left w:val="nil"/>
              <w:bottom w:val="single" w:sz="4" w:space="0" w:color="auto"/>
              <w:right w:val="single" w:sz="4" w:space="0" w:color="auto"/>
            </w:tcBorders>
            <w:vAlign w:val="center"/>
          </w:tcPr>
          <w:p w14:paraId="328A69AD" w14:textId="2C175683"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66</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0</w:t>
            </w:r>
          </w:p>
        </w:tc>
      </w:tr>
      <w:tr w:rsidR="00D374EB" w:rsidRPr="004A592F" w14:paraId="0B7BD187" w14:textId="77777777" w:rsidTr="00154B44">
        <w:trPr>
          <w:trHeight w:val="34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6FF7C36A"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w:t>
            </w:r>
          </w:p>
        </w:tc>
        <w:tc>
          <w:tcPr>
            <w:tcW w:w="990" w:type="dxa"/>
            <w:tcBorders>
              <w:top w:val="nil"/>
              <w:left w:val="nil"/>
              <w:bottom w:val="single" w:sz="4" w:space="0" w:color="auto"/>
              <w:right w:val="single" w:sz="4" w:space="0" w:color="auto"/>
            </w:tcBorders>
            <w:shd w:val="clear" w:color="auto" w:fill="auto"/>
            <w:noWrap/>
            <w:vAlign w:val="center"/>
            <w:hideMark/>
          </w:tcPr>
          <w:p w14:paraId="0F10BAEA" w14:textId="58092326"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r w:rsidR="00C4110E">
              <w:rPr>
                <w:rFonts w:ascii="Times New Roman" w:eastAsia="Times New Roman" w:hAnsi="Times New Roman"/>
                <w:color w:val="000000"/>
                <w:lang w:val="en-US"/>
              </w:rPr>
              <w:t>0</w:t>
            </w:r>
          </w:p>
        </w:tc>
        <w:tc>
          <w:tcPr>
            <w:tcW w:w="1452" w:type="dxa"/>
            <w:tcBorders>
              <w:top w:val="nil"/>
              <w:left w:val="nil"/>
              <w:bottom w:val="single" w:sz="4" w:space="0" w:color="auto"/>
              <w:right w:val="single" w:sz="4" w:space="0" w:color="auto"/>
            </w:tcBorders>
            <w:shd w:val="clear" w:color="auto" w:fill="auto"/>
            <w:noWrap/>
            <w:vAlign w:val="center"/>
            <w:hideMark/>
          </w:tcPr>
          <w:p w14:paraId="0FDF61BA" w14:textId="71965D2A"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r w:rsidR="00C4110E">
              <w:rPr>
                <w:rFonts w:ascii="Times New Roman" w:eastAsia="Times New Roman" w:hAnsi="Times New Roman"/>
                <w:color w:val="000000"/>
                <w:lang w:val="en-US"/>
              </w:rPr>
              <w:t>0</w:t>
            </w:r>
          </w:p>
        </w:tc>
        <w:tc>
          <w:tcPr>
            <w:tcW w:w="183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B4D153"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0</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83</w:t>
            </w:r>
          </w:p>
        </w:tc>
        <w:tc>
          <w:tcPr>
            <w:tcW w:w="16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CF0BD5" w14:textId="6562BA8F"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0</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r w:rsidR="009A7604">
              <w:rPr>
                <w:rFonts w:ascii="Times New Roman" w:eastAsia="Times New Roman" w:hAnsi="Times New Roman"/>
                <w:color w:val="000000"/>
                <w:lang w:val="en-US"/>
              </w:rPr>
              <w:t>0</w:t>
            </w:r>
          </w:p>
        </w:tc>
        <w:tc>
          <w:tcPr>
            <w:tcW w:w="710" w:type="dxa"/>
            <w:tcBorders>
              <w:top w:val="nil"/>
              <w:left w:val="nil"/>
              <w:bottom w:val="single" w:sz="4" w:space="0" w:color="auto"/>
              <w:right w:val="single" w:sz="4" w:space="0" w:color="auto"/>
            </w:tcBorders>
            <w:shd w:val="clear" w:color="auto" w:fill="auto"/>
            <w:noWrap/>
            <w:vAlign w:val="center"/>
            <w:hideMark/>
          </w:tcPr>
          <w:p w14:paraId="2805CA70"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86</w:t>
            </w:r>
          </w:p>
        </w:tc>
        <w:tc>
          <w:tcPr>
            <w:tcW w:w="1005" w:type="dxa"/>
            <w:tcBorders>
              <w:top w:val="nil"/>
              <w:left w:val="nil"/>
              <w:bottom w:val="single" w:sz="4" w:space="0" w:color="auto"/>
              <w:right w:val="single" w:sz="4" w:space="0" w:color="auto"/>
            </w:tcBorders>
            <w:shd w:val="clear" w:color="auto" w:fill="auto"/>
            <w:noWrap/>
            <w:vAlign w:val="center"/>
            <w:hideMark/>
          </w:tcPr>
          <w:p w14:paraId="0133FF49" w14:textId="5CDA00FB" w:rsidR="00D374EB" w:rsidRPr="004A592F" w:rsidRDefault="00D374EB" w:rsidP="00CB05BC">
            <w:pPr>
              <w:spacing w:after="0" w:line="240" w:lineRule="auto"/>
              <w:ind w:right="113"/>
              <w:jc w:val="right"/>
              <w:rPr>
                <w:rFonts w:ascii="Times New Roman" w:eastAsia="Times New Roman" w:hAnsi="Times New Roman"/>
                <w:color w:val="000000"/>
                <w:lang w:val="en-US"/>
              </w:rPr>
            </w:pPr>
            <w:r w:rsidRPr="004A592F">
              <w:rPr>
                <w:rFonts w:ascii="Times New Roman" w:eastAsia="Times New Roman" w:hAnsi="Times New Roman"/>
                <w:color w:val="000000"/>
                <w:lang w:val="en-US"/>
              </w:rPr>
              <w:t>107</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0" w:type="dxa"/>
            <w:tcBorders>
              <w:top w:val="nil"/>
              <w:left w:val="nil"/>
              <w:bottom w:val="single" w:sz="4" w:space="0" w:color="auto"/>
              <w:right w:val="single" w:sz="4" w:space="0" w:color="auto"/>
            </w:tcBorders>
            <w:vAlign w:val="center"/>
          </w:tcPr>
          <w:p w14:paraId="42D549C5"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17</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r>
      <w:tr w:rsidR="00D374EB" w:rsidRPr="004A592F" w14:paraId="79D448AE" w14:textId="77777777" w:rsidTr="00154B44">
        <w:trPr>
          <w:trHeight w:val="34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2821E782"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ІІІ</w:t>
            </w:r>
          </w:p>
        </w:tc>
        <w:tc>
          <w:tcPr>
            <w:tcW w:w="990" w:type="dxa"/>
            <w:tcBorders>
              <w:top w:val="nil"/>
              <w:left w:val="nil"/>
              <w:bottom w:val="single" w:sz="4" w:space="0" w:color="auto"/>
              <w:right w:val="single" w:sz="4" w:space="0" w:color="auto"/>
            </w:tcBorders>
            <w:shd w:val="clear" w:color="auto" w:fill="auto"/>
            <w:noWrap/>
            <w:vAlign w:val="center"/>
            <w:hideMark/>
          </w:tcPr>
          <w:p w14:paraId="37BB3A4C"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84</w:t>
            </w:r>
          </w:p>
        </w:tc>
        <w:tc>
          <w:tcPr>
            <w:tcW w:w="1452" w:type="dxa"/>
            <w:tcBorders>
              <w:top w:val="nil"/>
              <w:left w:val="nil"/>
              <w:bottom w:val="single" w:sz="4" w:space="0" w:color="auto"/>
              <w:right w:val="single" w:sz="4" w:space="0" w:color="auto"/>
            </w:tcBorders>
            <w:shd w:val="clear" w:color="auto" w:fill="auto"/>
            <w:noWrap/>
            <w:vAlign w:val="center"/>
            <w:hideMark/>
          </w:tcPr>
          <w:p w14:paraId="24B847CF" w14:textId="308117D5"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r w:rsidR="00C4110E">
              <w:rPr>
                <w:rFonts w:ascii="Times New Roman" w:eastAsia="Times New Roman" w:hAnsi="Times New Roman"/>
                <w:color w:val="000000"/>
                <w:lang w:val="en-US"/>
              </w:rPr>
              <w:t>0</w:t>
            </w:r>
          </w:p>
        </w:tc>
        <w:tc>
          <w:tcPr>
            <w:tcW w:w="183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A78DA4" w14:textId="2810510A"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C4110E">
              <w:rPr>
                <w:rFonts w:ascii="Times New Roman" w:eastAsia="Times New Roman" w:hAnsi="Times New Roman"/>
                <w:color w:val="000000"/>
                <w:lang w:val="en-US"/>
              </w:rPr>
              <w:t>.00</w:t>
            </w:r>
          </w:p>
        </w:tc>
        <w:tc>
          <w:tcPr>
            <w:tcW w:w="841" w:type="dxa"/>
            <w:tcBorders>
              <w:top w:val="nil"/>
              <w:left w:val="nil"/>
              <w:bottom w:val="single" w:sz="4" w:space="0" w:color="auto"/>
              <w:right w:val="single" w:sz="4" w:space="0" w:color="auto"/>
            </w:tcBorders>
            <w:shd w:val="clear" w:color="auto" w:fill="auto"/>
            <w:noWrap/>
            <w:vAlign w:val="center"/>
            <w:hideMark/>
          </w:tcPr>
          <w:p w14:paraId="52F1A451"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05</w:t>
            </w:r>
          </w:p>
        </w:tc>
        <w:tc>
          <w:tcPr>
            <w:tcW w:w="850" w:type="dxa"/>
            <w:tcBorders>
              <w:top w:val="nil"/>
              <w:left w:val="nil"/>
              <w:bottom w:val="single" w:sz="4" w:space="0" w:color="auto"/>
              <w:right w:val="single" w:sz="4" w:space="0" w:color="auto"/>
            </w:tcBorders>
            <w:shd w:val="clear" w:color="auto" w:fill="auto"/>
            <w:noWrap/>
            <w:vAlign w:val="center"/>
            <w:hideMark/>
          </w:tcPr>
          <w:p w14:paraId="1B39AC2B"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0</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84</w:t>
            </w:r>
          </w:p>
        </w:tc>
        <w:tc>
          <w:tcPr>
            <w:tcW w:w="710" w:type="dxa"/>
            <w:tcBorders>
              <w:top w:val="nil"/>
              <w:left w:val="nil"/>
              <w:bottom w:val="single" w:sz="4" w:space="0" w:color="auto"/>
              <w:right w:val="single" w:sz="4" w:space="0" w:color="auto"/>
            </w:tcBorders>
            <w:shd w:val="clear" w:color="auto" w:fill="auto"/>
            <w:noWrap/>
            <w:vAlign w:val="center"/>
            <w:hideMark/>
          </w:tcPr>
          <w:p w14:paraId="0E8EA0F3" w14:textId="16DE8F5A"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9</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r w:rsidR="009A7604">
              <w:rPr>
                <w:rFonts w:ascii="Times New Roman" w:eastAsia="Times New Roman" w:hAnsi="Times New Roman"/>
                <w:color w:val="000000"/>
                <w:lang w:val="en-US"/>
              </w:rPr>
              <w:t>0</w:t>
            </w:r>
          </w:p>
        </w:tc>
        <w:tc>
          <w:tcPr>
            <w:tcW w:w="1005" w:type="dxa"/>
            <w:tcBorders>
              <w:top w:val="nil"/>
              <w:left w:val="nil"/>
              <w:bottom w:val="single" w:sz="4" w:space="0" w:color="auto"/>
              <w:right w:val="single" w:sz="4" w:space="0" w:color="auto"/>
            </w:tcBorders>
            <w:shd w:val="clear" w:color="auto" w:fill="auto"/>
            <w:noWrap/>
            <w:vAlign w:val="center"/>
            <w:hideMark/>
          </w:tcPr>
          <w:p w14:paraId="10C14E04" w14:textId="32648FE6" w:rsidR="00D374EB" w:rsidRPr="004A592F" w:rsidRDefault="00D374EB" w:rsidP="00CB05BC">
            <w:pPr>
              <w:spacing w:after="0" w:line="240" w:lineRule="auto"/>
              <w:ind w:right="113"/>
              <w:jc w:val="right"/>
              <w:rPr>
                <w:rFonts w:ascii="Times New Roman" w:eastAsia="Times New Roman" w:hAnsi="Times New Roman"/>
                <w:color w:val="000000"/>
                <w:lang w:val="en-US"/>
              </w:rPr>
            </w:pPr>
            <w:r w:rsidRPr="004A592F">
              <w:rPr>
                <w:rFonts w:ascii="Times New Roman" w:eastAsia="Times New Roman" w:hAnsi="Times New Roman"/>
                <w:color w:val="000000"/>
                <w:lang w:val="en-US"/>
              </w:rPr>
              <w:t>84</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50" w:type="dxa"/>
            <w:tcBorders>
              <w:top w:val="nil"/>
              <w:left w:val="nil"/>
              <w:bottom w:val="single" w:sz="4" w:space="0" w:color="auto"/>
              <w:right w:val="single" w:sz="4" w:space="0" w:color="auto"/>
            </w:tcBorders>
            <w:vAlign w:val="center"/>
          </w:tcPr>
          <w:p w14:paraId="62DAAAB8" w14:textId="77777777" w:rsidR="00D374EB" w:rsidRPr="004A592F" w:rsidRDefault="00D374EB" w:rsidP="004001F5">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13</w:t>
            </w:r>
            <w:r w:rsidR="0060345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r>
    </w:tbl>
    <w:p w14:paraId="5FF5345E" w14:textId="77777777" w:rsidR="0022316A" w:rsidRPr="004A592F" w:rsidRDefault="0022316A" w:rsidP="00D374EB">
      <w:pPr>
        <w:spacing w:after="0" w:line="240" w:lineRule="auto"/>
        <w:ind w:firstLine="284"/>
        <w:jc w:val="both"/>
        <w:rPr>
          <w:rFonts w:ascii="Times New Roman" w:hAnsi="Times New Roman"/>
          <w:lang w:val="en-US"/>
        </w:rPr>
      </w:pPr>
    </w:p>
    <w:p w14:paraId="5CE6EF69" w14:textId="0C50BA13" w:rsidR="000C0459" w:rsidRPr="000E4957" w:rsidRDefault="0060345E" w:rsidP="00D374EB">
      <w:pPr>
        <w:spacing w:after="0" w:line="240" w:lineRule="auto"/>
        <w:ind w:firstLine="284"/>
        <w:jc w:val="both"/>
        <w:rPr>
          <w:rFonts w:ascii="Times New Roman" w:hAnsi="Times New Roman"/>
          <w:lang w:val="en-US"/>
        </w:rPr>
      </w:pPr>
      <w:r w:rsidRPr="004A592F">
        <w:rPr>
          <w:rFonts w:ascii="Times New Roman" w:hAnsi="Times New Roman"/>
          <w:lang w:val="en-US"/>
        </w:rPr>
        <w:t>The mode</w:t>
      </w:r>
      <w:r w:rsidR="004D5C85">
        <w:rPr>
          <w:rFonts w:ascii="Times New Roman" w:hAnsi="Times New Roman"/>
          <w:lang w:val="en-US"/>
        </w:rPr>
        <w:t>l</w:t>
      </w:r>
      <w:r w:rsidRPr="004A592F">
        <w:rPr>
          <w:rFonts w:ascii="Times New Roman" w:hAnsi="Times New Roman"/>
          <w:lang w:val="en-US"/>
        </w:rPr>
        <w:t xml:space="preserve">ling results are used to assess the possibility of covering the required heat supply with renewable energy sources, such as biomass </w:t>
      </w:r>
      <w:r w:rsidRPr="000E4957">
        <w:rPr>
          <w:rFonts w:ascii="Times New Roman" w:hAnsi="Times New Roman"/>
          <w:lang w:val="en-US"/>
        </w:rPr>
        <w:t>and a heat pump.</w:t>
      </w:r>
    </w:p>
    <w:p w14:paraId="75012B80" w14:textId="4B3CE9E4" w:rsidR="00D374EB" w:rsidRPr="004A592F" w:rsidRDefault="0060345E" w:rsidP="002B1901">
      <w:pPr>
        <w:spacing w:after="0" w:line="240" w:lineRule="auto"/>
        <w:ind w:firstLine="284"/>
        <w:jc w:val="both"/>
        <w:rPr>
          <w:rFonts w:ascii="Times New Roman" w:hAnsi="Times New Roman"/>
          <w:lang w:val="en-US"/>
        </w:rPr>
      </w:pPr>
      <w:r w:rsidRPr="000E4957">
        <w:rPr>
          <w:rFonts w:ascii="Times New Roman" w:eastAsiaTheme="minorHAnsi" w:hAnsi="Times New Roman"/>
          <w:b/>
          <w:bCs/>
          <w:i/>
          <w:iCs/>
          <w:lang w:val="en-US"/>
        </w:rPr>
        <w:lastRenderedPageBreak/>
        <w:t>Analysis of the research findings</w:t>
      </w:r>
      <w:r w:rsidR="00061E09" w:rsidRPr="000E4957">
        <w:rPr>
          <w:rFonts w:ascii="Times New Roman" w:eastAsiaTheme="minorHAnsi" w:hAnsi="Times New Roman"/>
          <w:b/>
          <w:bCs/>
          <w:i/>
          <w:iCs/>
          <w:lang w:val="en-US"/>
        </w:rPr>
        <w:t>.</w:t>
      </w:r>
      <w:r w:rsidR="00061E09" w:rsidRPr="000E4957">
        <w:rPr>
          <w:rFonts w:ascii="Times New Roman" w:eastAsiaTheme="minorHAnsi" w:hAnsi="Times New Roman"/>
          <w:lang w:val="en-US"/>
        </w:rPr>
        <w:t xml:space="preserve"> </w:t>
      </w:r>
      <w:r w:rsidRPr="004A592F">
        <w:rPr>
          <w:rFonts w:ascii="Times New Roman" w:hAnsi="Times New Roman"/>
          <w:lang w:val="en-US"/>
        </w:rPr>
        <w:t xml:space="preserve">In accordance with the EPBD Directive, </w:t>
      </w:r>
      <w:r w:rsidR="004D5C85">
        <w:rPr>
          <w:rFonts w:ascii="Times New Roman" w:hAnsi="Times New Roman"/>
          <w:lang w:val="en-US"/>
        </w:rPr>
        <w:t xml:space="preserve">the possibilities of using biomass and a heat pump have been </w:t>
      </w:r>
      <w:proofErr w:type="spellStart"/>
      <w:r w:rsidR="004D5C85">
        <w:rPr>
          <w:rFonts w:ascii="Times New Roman" w:hAnsi="Times New Roman"/>
          <w:lang w:val="en-US"/>
        </w:rPr>
        <w:t>analysed</w:t>
      </w:r>
      <w:proofErr w:type="spellEnd"/>
      <w:r w:rsidR="004D5C85">
        <w:rPr>
          <w:rFonts w:ascii="Times New Roman" w:hAnsi="Times New Roman"/>
          <w:lang w:val="en-US"/>
        </w:rPr>
        <w:t xml:space="preserve"> to meet the required energy demand for heating from renewable sources of the research object</w:t>
      </w:r>
      <w:r w:rsidRPr="004A592F">
        <w:rPr>
          <w:rFonts w:ascii="Times New Roman" w:hAnsi="Times New Roman"/>
          <w:lang w:val="en-US"/>
        </w:rPr>
        <w:t>.</w:t>
      </w:r>
    </w:p>
    <w:p w14:paraId="564839E6" w14:textId="76CAA1A7" w:rsidR="006A0D15" w:rsidRPr="00563D9C" w:rsidRDefault="006A0D15" w:rsidP="006A0D15">
      <w:pPr>
        <w:spacing w:after="0" w:line="240" w:lineRule="auto"/>
        <w:ind w:firstLine="284"/>
        <w:jc w:val="both"/>
        <w:rPr>
          <w:rFonts w:ascii="Times New Roman" w:hAnsi="Times New Roman"/>
          <w:lang w:val="en-US"/>
        </w:rPr>
      </w:pPr>
      <w:r w:rsidRPr="00563D9C">
        <w:rPr>
          <w:rFonts w:ascii="Times New Roman" w:hAnsi="Times New Roman"/>
          <w:lang w:val="en-US"/>
        </w:rPr>
        <w:t xml:space="preserve">The prospects of biomass use were made </w:t>
      </w:r>
      <w:r w:rsidR="004D5C85">
        <w:rPr>
          <w:rFonts w:ascii="Times New Roman" w:hAnsi="Times New Roman"/>
          <w:lang w:val="en-US"/>
        </w:rPr>
        <w:t>following</w:t>
      </w:r>
      <w:r w:rsidRPr="00563D9C">
        <w:rPr>
          <w:rFonts w:ascii="Times New Roman" w:hAnsi="Times New Roman"/>
          <w:lang w:val="en-US"/>
        </w:rPr>
        <w:t xml:space="preserve"> the assessment of the theoretical potential of using different types of biomass in the energy sector. Thus, according to the Bioenergy Association of Ukraine, the theoretical potential of using different types of biomass is distributed as follows: 43% of the balance of the potential is accounted for by agricultural residues, </w:t>
      </w:r>
      <w:r w:rsidR="004D5C85">
        <w:rPr>
          <w:rFonts w:ascii="Times New Roman" w:hAnsi="Times New Roman"/>
          <w:lang w:val="en-US"/>
        </w:rPr>
        <w:t>energy crops account for 36%</w:t>
      </w:r>
      <w:r w:rsidRPr="00563D9C">
        <w:rPr>
          <w:rFonts w:ascii="Times New Roman" w:hAnsi="Times New Roman"/>
          <w:lang w:val="en-US"/>
        </w:rPr>
        <w:t xml:space="preserve">, 12% of the balance is attributed to woody biomass, 5%, 3% and 1% are distributed among biogas, bioethanol and biodiesel, respectively. Since the share of biomass from agricultural residues is the largest, further analysis of building </w:t>
      </w:r>
      <w:proofErr w:type="spellStart"/>
      <w:r w:rsidRPr="00563D9C">
        <w:rPr>
          <w:rFonts w:ascii="Times New Roman" w:hAnsi="Times New Roman"/>
          <w:lang w:val="en-US"/>
        </w:rPr>
        <w:t>moderni</w:t>
      </w:r>
      <w:r w:rsidR="004D5C85">
        <w:rPr>
          <w:rFonts w:ascii="Times New Roman" w:hAnsi="Times New Roman"/>
          <w:lang w:val="en-US"/>
        </w:rPr>
        <w:t>s</w:t>
      </w:r>
      <w:r w:rsidRPr="00563D9C">
        <w:rPr>
          <w:rFonts w:ascii="Times New Roman" w:hAnsi="Times New Roman"/>
          <w:lang w:val="en-US"/>
        </w:rPr>
        <w:t>ation</w:t>
      </w:r>
      <w:proofErr w:type="spellEnd"/>
      <w:r w:rsidRPr="00563D9C">
        <w:rPr>
          <w:rFonts w:ascii="Times New Roman" w:hAnsi="Times New Roman"/>
          <w:lang w:val="en-US"/>
        </w:rPr>
        <w:t xml:space="preserve"> when replacing the energy source with one that runs on biomass is carried out for fuels that are agricultural residues. </w:t>
      </w:r>
      <w:r w:rsidR="004D5C85">
        <w:rPr>
          <w:rFonts w:ascii="Times New Roman" w:hAnsi="Times New Roman"/>
          <w:lang w:val="en-US"/>
        </w:rPr>
        <w:t>Following</w:t>
      </w:r>
      <w:r w:rsidRPr="00563D9C">
        <w:rPr>
          <w:rFonts w:ascii="Times New Roman" w:hAnsi="Times New Roman"/>
          <w:lang w:val="en-US"/>
        </w:rPr>
        <w:t xml:space="preserve"> the physical and technical characteristics of the fuel, the location of the facility to the areas of the highest crop yields considered (</w:t>
      </w:r>
      <w:proofErr w:type="spellStart"/>
      <w:r w:rsidRPr="00563D9C">
        <w:rPr>
          <w:rFonts w:ascii="Times New Roman" w:hAnsi="Times New Roman"/>
          <w:lang w:val="en-US"/>
        </w:rPr>
        <w:t>Deshko</w:t>
      </w:r>
      <w:proofErr w:type="spellEnd"/>
      <w:r w:rsidRPr="00563D9C">
        <w:rPr>
          <w:rFonts w:ascii="Times New Roman" w:hAnsi="Times New Roman"/>
          <w:lang w:val="en-US"/>
        </w:rPr>
        <w:t xml:space="preserve"> et al. 2023), and the </w:t>
      </w:r>
      <w:proofErr w:type="spellStart"/>
      <w:r w:rsidRPr="00563D9C">
        <w:rPr>
          <w:rFonts w:ascii="Times New Roman" w:hAnsi="Times New Roman"/>
          <w:lang w:val="en-US"/>
        </w:rPr>
        <w:t>cent</w:t>
      </w:r>
      <w:r w:rsidR="004D5C85">
        <w:rPr>
          <w:rFonts w:ascii="Times New Roman" w:hAnsi="Times New Roman"/>
          <w:lang w:val="en-US"/>
        </w:rPr>
        <w:t>re</w:t>
      </w:r>
      <w:r w:rsidRPr="00563D9C">
        <w:rPr>
          <w:rFonts w:ascii="Times New Roman" w:hAnsi="Times New Roman"/>
          <w:lang w:val="en-US"/>
        </w:rPr>
        <w:t>s</w:t>
      </w:r>
      <w:proofErr w:type="spellEnd"/>
      <w:r w:rsidRPr="00563D9C">
        <w:rPr>
          <w:rFonts w:ascii="Times New Roman" w:hAnsi="Times New Roman"/>
          <w:lang w:val="en-US"/>
        </w:rPr>
        <w:t xml:space="preserve"> of fuel pellet production capacity, the most attractive from an economic and technical point of view is biomass from sunflower husk. </w:t>
      </w:r>
    </w:p>
    <w:p w14:paraId="08261474" w14:textId="54BCD8AD" w:rsidR="00D374EB" w:rsidRPr="004A592F" w:rsidRDefault="006A0D15" w:rsidP="006A0D15">
      <w:pPr>
        <w:spacing w:after="0" w:line="240" w:lineRule="auto"/>
        <w:ind w:firstLine="284"/>
        <w:jc w:val="both"/>
        <w:rPr>
          <w:rFonts w:ascii="Times New Roman" w:hAnsi="Times New Roman"/>
          <w:lang w:val="en-US"/>
        </w:rPr>
      </w:pPr>
      <w:r w:rsidRPr="00563D9C">
        <w:rPr>
          <w:rFonts w:ascii="Times New Roman" w:hAnsi="Times New Roman"/>
          <w:lang w:val="en-US"/>
        </w:rPr>
        <w:t xml:space="preserve">In terms of geographical location and cost of operation, an air-to-water heat pump is another optimal way to </w:t>
      </w:r>
      <w:proofErr w:type="spellStart"/>
      <w:r w:rsidRPr="00563D9C">
        <w:rPr>
          <w:rFonts w:ascii="Times New Roman" w:hAnsi="Times New Roman"/>
          <w:lang w:val="en-US"/>
        </w:rPr>
        <w:t>moderni</w:t>
      </w:r>
      <w:r w:rsidR="004D5C85">
        <w:rPr>
          <w:rFonts w:ascii="Times New Roman" w:hAnsi="Times New Roman"/>
          <w:lang w:val="en-US"/>
        </w:rPr>
        <w:t>s</w:t>
      </w:r>
      <w:r w:rsidRPr="00563D9C">
        <w:rPr>
          <w:rFonts w:ascii="Times New Roman" w:hAnsi="Times New Roman"/>
          <w:lang w:val="en-US"/>
        </w:rPr>
        <w:t>e</w:t>
      </w:r>
      <w:proofErr w:type="spellEnd"/>
      <w:r w:rsidRPr="00563D9C">
        <w:rPr>
          <w:rFonts w:ascii="Times New Roman" w:hAnsi="Times New Roman"/>
          <w:lang w:val="en-US"/>
        </w:rPr>
        <w:t xml:space="preserve"> a building to the level of one that uses a renewable source for heat supply. For Levels I, II, and III of thermal protection of the building, the assessment of the required heating demand by a heat pump was carried out in the </w:t>
      </w:r>
      <w:proofErr w:type="spellStart"/>
      <w:r w:rsidRPr="00563D9C">
        <w:rPr>
          <w:rFonts w:ascii="Times New Roman" w:hAnsi="Times New Roman"/>
          <w:lang w:val="en-US"/>
        </w:rPr>
        <w:t>GeoTSOL</w:t>
      </w:r>
      <w:proofErr w:type="spellEnd"/>
      <w:r w:rsidRPr="00563D9C">
        <w:rPr>
          <w:rFonts w:ascii="Times New Roman" w:hAnsi="Times New Roman"/>
          <w:lang w:val="en-US"/>
        </w:rPr>
        <w:t xml:space="preserve"> software environment. The result of the dynamic mode</w:t>
      </w:r>
      <w:r w:rsidR="004D5C85">
        <w:rPr>
          <w:rFonts w:ascii="Times New Roman" w:hAnsi="Times New Roman"/>
          <w:lang w:val="en-US"/>
        </w:rPr>
        <w:t>l</w:t>
      </w:r>
      <w:r w:rsidRPr="00563D9C">
        <w:rPr>
          <w:rFonts w:ascii="Times New Roman" w:hAnsi="Times New Roman"/>
          <w:lang w:val="en-US"/>
        </w:rPr>
        <w:t>ling of the heat supply of a building with different levels of thermal protection is the amount of heat generation by the heat pump and the amount of electricity required for such generation. Taking into account the possibilities of mode</w:t>
      </w:r>
      <w:r w:rsidR="004D5C85">
        <w:rPr>
          <w:rFonts w:ascii="Times New Roman" w:hAnsi="Times New Roman"/>
          <w:lang w:val="en-US"/>
        </w:rPr>
        <w:t>l</w:t>
      </w:r>
      <w:r w:rsidRPr="00563D9C">
        <w:rPr>
          <w:rFonts w:ascii="Times New Roman" w:hAnsi="Times New Roman"/>
          <w:lang w:val="en-US"/>
        </w:rPr>
        <w:t>ling the operation of the heat pump in different modes of operation (monovalent, single-energy and bivalent), a technical and economic justification for the use of a heat pump for a building at different levels of its thermal protection, according to the energy demand for heating, obtained as a result of dynamic mode</w:t>
      </w:r>
      <w:r w:rsidR="004D5C85">
        <w:rPr>
          <w:rFonts w:ascii="Times New Roman" w:hAnsi="Times New Roman"/>
          <w:lang w:val="en-US"/>
        </w:rPr>
        <w:t>l</w:t>
      </w:r>
      <w:r w:rsidRPr="00563D9C">
        <w:rPr>
          <w:rFonts w:ascii="Times New Roman" w:hAnsi="Times New Roman"/>
          <w:lang w:val="en-US"/>
        </w:rPr>
        <w:t xml:space="preserve">ling in </w:t>
      </w:r>
      <w:proofErr w:type="spellStart"/>
      <w:r w:rsidRPr="00563D9C">
        <w:rPr>
          <w:rFonts w:ascii="Times New Roman" w:hAnsi="Times New Roman"/>
          <w:lang w:val="en-US"/>
        </w:rPr>
        <w:t>DesignBuilder</w:t>
      </w:r>
      <w:proofErr w:type="spellEnd"/>
      <w:r w:rsidRPr="00563D9C">
        <w:rPr>
          <w:rFonts w:ascii="Times New Roman" w:hAnsi="Times New Roman"/>
          <w:lang w:val="en-US"/>
        </w:rPr>
        <w:t>, was made as follows:</w:t>
      </w:r>
    </w:p>
    <w:p w14:paraId="37EB69BA" w14:textId="485300B5" w:rsidR="00D374EB" w:rsidRPr="00154B44" w:rsidRDefault="007B3D0D" w:rsidP="00154B44">
      <w:pPr>
        <w:pStyle w:val="Akapitzlist"/>
        <w:numPr>
          <w:ilvl w:val="0"/>
          <w:numId w:val="21"/>
        </w:numPr>
        <w:spacing w:after="0" w:line="240" w:lineRule="auto"/>
        <w:ind w:left="364"/>
        <w:jc w:val="both"/>
        <w:rPr>
          <w:rFonts w:ascii="Times New Roman" w:hAnsi="Times New Roman"/>
          <w:lang w:val="en-US"/>
        </w:rPr>
      </w:pPr>
      <w:r w:rsidRPr="00154B44">
        <w:rPr>
          <w:rFonts w:ascii="Times New Roman" w:hAnsi="Times New Roman"/>
          <w:lang w:val="en-US"/>
        </w:rPr>
        <w:t xml:space="preserve">Partially bivalent: </w:t>
      </w:r>
      <w:r w:rsidR="00E45CDB" w:rsidRPr="00154B44">
        <w:rPr>
          <w:rFonts w:ascii="Times New Roman" w:hAnsi="Times New Roman"/>
          <w:lang w:val="en-US"/>
        </w:rPr>
        <w:t>P</w:t>
      </w:r>
      <w:r w:rsidRPr="00154B44">
        <w:rPr>
          <w:rFonts w:ascii="Times New Roman" w:hAnsi="Times New Roman"/>
          <w:lang w:val="en-US"/>
        </w:rPr>
        <w:t xml:space="preserve">arallel operation of a heat pump and a natural gas boiler for the </w:t>
      </w:r>
      <w:r w:rsidR="00E45CDB" w:rsidRPr="00154B44">
        <w:rPr>
          <w:rFonts w:ascii="Times New Roman" w:hAnsi="Times New Roman"/>
          <w:lang w:val="en-US"/>
        </w:rPr>
        <w:t xml:space="preserve">Level I </w:t>
      </w:r>
      <w:r w:rsidRPr="00154B44">
        <w:rPr>
          <w:rFonts w:ascii="Times New Roman" w:hAnsi="Times New Roman"/>
          <w:lang w:val="en-US"/>
        </w:rPr>
        <w:t>thermal protection</w:t>
      </w:r>
      <w:r w:rsidR="00A22B8F">
        <w:rPr>
          <w:rFonts w:ascii="Times New Roman" w:hAnsi="Times New Roman"/>
          <w:lang w:val="en-US"/>
        </w:rPr>
        <w:t>;</w:t>
      </w:r>
    </w:p>
    <w:p w14:paraId="5D43D844" w14:textId="7A48312D" w:rsidR="00D374EB" w:rsidRPr="00154B44" w:rsidRDefault="007B3D0D" w:rsidP="00154B44">
      <w:pPr>
        <w:pStyle w:val="Akapitzlist"/>
        <w:numPr>
          <w:ilvl w:val="0"/>
          <w:numId w:val="21"/>
        </w:numPr>
        <w:spacing w:after="0" w:line="240" w:lineRule="auto"/>
        <w:ind w:left="364"/>
        <w:jc w:val="both"/>
        <w:rPr>
          <w:rFonts w:ascii="Times New Roman" w:hAnsi="Times New Roman"/>
          <w:lang w:val="en-US"/>
        </w:rPr>
      </w:pPr>
      <w:r w:rsidRPr="00154B44">
        <w:rPr>
          <w:rFonts w:ascii="Times New Roman" w:hAnsi="Times New Roman"/>
          <w:lang w:val="en-US"/>
        </w:rPr>
        <w:t xml:space="preserve">Partially </w:t>
      </w:r>
      <w:r w:rsidR="00E45CDB" w:rsidRPr="00154B44">
        <w:rPr>
          <w:rFonts w:ascii="Times New Roman" w:hAnsi="Times New Roman"/>
          <w:lang w:val="en-US"/>
        </w:rPr>
        <w:t>single-energy:</w:t>
      </w:r>
      <w:r w:rsidRPr="00154B44">
        <w:rPr>
          <w:rFonts w:ascii="Times New Roman" w:hAnsi="Times New Roman"/>
          <w:lang w:val="en-US"/>
        </w:rPr>
        <w:t xml:space="preserve"> </w:t>
      </w:r>
      <w:r w:rsidR="00E45CDB" w:rsidRPr="00154B44">
        <w:rPr>
          <w:rFonts w:ascii="Times New Roman" w:hAnsi="Times New Roman"/>
          <w:lang w:val="en-US"/>
        </w:rPr>
        <w:t>P</w:t>
      </w:r>
      <w:r w:rsidRPr="00154B44">
        <w:rPr>
          <w:rFonts w:ascii="Times New Roman" w:hAnsi="Times New Roman"/>
          <w:lang w:val="en-US"/>
        </w:rPr>
        <w:t>arallel</w:t>
      </w:r>
      <w:r w:rsidR="00E45CDB" w:rsidRPr="00154B44">
        <w:rPr>
          <w:rFonts w:ascii="Times New Roman" w:hAnsi="Times New Roman"/>
          <w:lang w:val="en-US"/>
        </w:rPr>
        <w:t xml:space="preserve"> </w:t>
      </w:r>
      <w:r w:rsidRPr="00154B44">
        <w:rPr>
          <w:rFonts w:ascii="Times New Roman" w:hAnsi="Times New Roman"/>
          <w:lang w:val="en-US"/>
        </w:rPr>
        <w:t xml:space="preserve">operation of the heat pump and heating element for the </w:t>
      </w:r>
      <w:r w:rsidR="00E45CDB" w:rsidRPr="00154B44">
        <w:rPr>
          <w:rFonts w:ascii="Times New Roman" w:hAnsi="Times New Roman"/>
          <w:lang w:val="en-US"/>
        </w:rPr>
        <w:t xml:space="preserve">Level II </w:t>
      </w:r>
      <w:r w:rsidRPr="00154B44">
        <w:rPr>
          <w:rFonts w:ascii="Times New Roman" w:hAnsi="Times New Roman"/>
          <w:lang w:val="en-US"/>
        </w:rPr>
        <w:t>thermal protection</w:t>
      </w:r>
      <w:r w:rsidR="00A22B8F">
        <w:rPr>
          <w:rFonts w:ascii="Times New Roman" w:hAnsi="Times New Roman"/>
          <w:lang w:val="en-US"/>
        </w:rPr>
        <w:t>;</w:t>
      </w:r>
    </w:p>
    <w:p w14:paraId="0ECC7E6D" w14:textId="574D215D" w:rsidR="00D374EB" w:rsidRPr="00154B44" w:rsidRDefault="00E45CDB" w:rsidP="00154B44">
      <w:pPr>
        <w:pStyle w:val="Akapitzlist"/>
        <w:numPr>
          <w:ilvl w:val="0"/>
          <w:numId w:val="21"/>
        </w:numPr>
        <w:spacing w:after="0" w:line="240" w:lineRule="auto"/>
        <w:ind w:left="364"/>
        <w:jc w:val="both"/>
        <w:rPr>
          <w:rFonts w:ascii="Times New Roman" w:hAnsi="Times New Roman"/>
          <w:lang w:val="en-US"/>
        </w:rPr>
      </w:pPr>
      <w:r w:rsidRPr="00154B44">
        <w:rPr>
          <w:rFonts w:ascii="Times New Roman" w:hAnsi="Times New Roman"/>
          <w:lang w:val="en-US"/>
        </w:rPr>
        <w:t>Partially single-energy:</w:t>
      </w:r>
      <w:r w:rsidR="00D374EB" w:rsidRPr="00154B44">
        <w:rPr>
          <w:rFonts w:ascii="Times New Roman" w:hAnsi="Times New Roman"/>
          <w:lang w:val="en-US"/>
        </w:rPr>
        <w:t xml:space="preserve"> </w:t>
      </w:r>
      <w:r w:rsidRPr="00154B44">
        <w:rPr>
          <w:rFonts w:ascii="Times New Roman" w:hAnsi="Times New Roman"/>
          <w:lang w:val="en-US"/>
        </w:rPr>
        <w:t xml:space="preserve">parallel </w:t>
      </w:r>
      <w:r w:rsidR="004D5C85">
        <w:rPr>
          <w:rFonts w:ascii="Times New Roman" w:hAnsi="Times New Roman"/>
          <w:lang w:val="en-US"/>
        </w:rPr>
        <w:t>heat pump and heating element operation</w:t>
      </w:r>
      <w:r w:rsidRPr="00154B44">
        <w:rPr>
          <w:rFonts w:ascii="Times New Roman" w:hAnsi="Times New Roman"/>
          <w:lang w:val="en-US"/>
        </w:rPr>
        <w:t xml:space="preserve"> for the Level III thermal protection.</w:t>
      </w:r>
    </w:p>
    <w:p w14:paraId="13A7CD06" w14:textId="77777777" w:rsidR="00154B44" w:rsidRDefault="00154B44" w:rsidP="00D374EB">
      <w:pPr>
        <w:spacing w:after="0" w:line="240" w:lineRule="auto"/>
        <w:ind w:firstLine="284"/>
        <w:jc w:val="both"/>
        <w:rPr>
          <w:rFonts w:ascii="Times New Roman" w:hAnsi="Times New Roman"/>
          <w:lang w:val="en-US"/>
        </w:rPr>
      </w:pPr>
    </w:p>
    <w:p w14:paraId="561AC748" w14:textId="29CD1980" w:rsidR="00EF0430" w:rsidRPr="004A592F" w:rsidRDefault="004D5C85" w:rsidP="00D374EB">
      <w:pPr>
        <w:spacing w:after="0" w:line="240" w:lineRule="auto"/>
        <w:ind w:firstLine="284"/>
        <w:jc w:val="both"/>
        <w:rPr>
          <w:rFonts w:ascii="Times New Roman" w:eastAsia="Times New Roman" w:hAnsi="Times New Roman"/>
          <w:bCs/>
          <w:iCs/>
          <w:lang w:val="en-US" w:eastAsia="ru-RU"/>
        </w:rPr>
      </w:pPr>
      <w:r>
        <w:rPr>
          <w:rFonts w:ascii="Times New Roman" w:hAnsi="Times New Roman"/>
          <w:lang w:val="en-US"/>
        </w:rPr>
        <w:t>Following</w:t>
      </w:r>
      <w:r w:rsidR="00E45CDB" w:rsidRPr="004A592F">
        <w:rPr>
          <w:rFonts w:ascii="Times New Roman" w:hAnsi="Times New Roman"/>
          <w:lang w:val="en-US"/>
        </w:rPr>
        <w:t xml:space="preserve"> the heat supply of the building of different levels of thermal protection, the main system elements were selected from the manufacturers proposed by the program: for Level I </w:t>
      </w:r>
      <w:r w:rsidR="009B156E" w:rsidRPr="004A592F">
        <w:rPr>
          <w:rFonts w:ascii="Times New Roman" w:hAnsi="Times New Roman"/>
          <w:lang w:val="en-US"/>
        </w:rPr>
        <w:t>–</w:t>
      </w:r>
      <w:r w:rsidR="00E45CDB" w:rsidRPr="004A592F">
        <w:rPr>
          <w:rFonts w:ascii="Times New Roman" w:hAnsi="Times New Roman"/>
          <w:lang w:val="en-US"/>
        </w:rPr>
        <w:t xml:space="preserve"> a</w:t>
      </w:r>
      <w:r w:rsidR="009B156E" w:rsidRPr="004A592F">
        <w:rPr>
          <w:rFonts w:ascii="Times New Roman" w:hAnsi="Times New Roman"/>
          <w:lang w:val="en-US"/>
        </w:rPr>
        <w:t xml:space="preserve"> </w:t>
      </w:r>
      <w:r w:rsidR="00E45CDB" w:rsidRPr="004A592F">
        <w:rPr>
          <w:rFonts w:ascii="Times New Roman" w:hAnsi="Times New Roman"/>
          <w:lang w:val="en-US"/>
        </w:rPr>
        <w:t>heat pump, a</w:t>
      </w:r>
      <w:r w:rsidR="00C936FB">
        <w:rPr>
          <w:rFonts w:ascii="Times New Roman" w:hAnsi="Times New Roman"/>
          <w:lang w:val="en-US"/>
        </w:rPr>
        <w:t> </w:t>
      </w:r>
      <w:r w:rsidR="00E45CDB" w:rsidRPr="004A592F">
        <w:rPr>
          <w:rFonts w:ascii="Times New Roman" w:hAnsi="Times New Roman"/>
          <w:lang w:val="en-US"/>
        </w:rPr>
        <w:t xml:space="preserve">storage tank and a natural gas boiler, for Levels II and III </w:t>
      </w:r>
      <w:r w:rsidR="00C936FB">
        <w:rPr>
          <w:rFonts w:ascii="Times New Roman" w:hAnsi="Times New Roman"/>
          <w:lang w:val="en-US"/>
        </w:rPr>
        <w:t>–</w:t>
      </w:r>
      <w:r w:rsidR="00E45CDB" w:rsidRPr="004A592F">
        <w:rPr>
          <w:rFonts w:ascii="Times New Roman" w:hAnsi="Times New Roman"/>
          <w:lang w:val="en-US"/>
        </w:rPr>
        <w:t xml:space="preserve"> a heat pump and a heating element with a capacity of 20</w:t>
      </w:r>
      <w:r w:rsidR="00DB374A">
        <w:rPr>
          <w:rFonts w:ascii="Times New Roman" w:hAnsi="Times New Roman"/>
          <w:lang w:val="en-US"/>
        </w:rPr>
        <w:t> </w:t>
      </w:r>
      <w:r w:rsidR="00E45CDB" w:rsidRPr="004A592F">
        <w:rPr>
          <w:rFonts w:ascii="Times New Roman" w:hAnsi="Times New Roman"/>
          <w:lang w:val="en-US"/>
        </w:rPr>
        <w:t>kW and 5 kW, respectively. The technical parameters of the selected system elements in different operating modes and the system connection scheme are shown in Table 2.</w:t>
      </w:r>
    </w:p>
    <w:p w14:paraId="2DE23BA8" w14:textId="54FED3A2" w:rsidR="00990FBB" w:rsidRPr="004A592F" w:rsidRDefault="00990FBB" w:rsidP="00990FBB">
      <w:pPr>
        <w:spacing w:after="0" w:line="240" w:lineRule="auto"/>
        <w:ind w:firstLine="284"/>
        <w:jc w:val="both"/>
        <w:rPr>
          <w:rFonts w:ascii="Times New Roman" w:hAnsi="Times New Roman"/>
          <w:lang w:val="en-US"/>
        </w:rPr>
      </w:pPr>
      <w:r w:rsidRPr="004A592F">
        <w:rPr>
          <w:rFonts w:ascii="Times New Roman" w:hAnsi="Times New Roman"/>
          <w:lang w:val="en-US"/>
        </w:rPr>
        <w:t>The results of dynamic mode</w:t>
      </w:r>
      <w:r w:rsidR="004D5C85">
        <w:rPr>
          <w:rFonts w:ascii="Times New Roman" w:hAnsi="Times New Roman"/>
          <w:lang w:val="en-US"/>
        </w:rPr>
        <w:t>l</w:t>
      </w:r>
      <w:r w:rsidRPr="004A592F">
        <w:rPr>
          <w:rFonts w:ascii="Times New Roman" w:hAnsi="Times New Roman"/>
          <w:lang w:val="en-US"/>
        </w:rPr>
        <w:t xml:space="preserve">ling of the energy demand for heating (using </w:t>
      </w:r>
      <w:proofErr w:type="spellStart"/>
      <w:r w:rsidRPr="004A592F">
        <w:rPr>
          <w:rFonts w:ascii="Times New Roman" w:hAnsi="Times New Roman"/>
          <w:lang w:val="en-US"/>
        </w:rPr>
        <w:t>DesignBuilder</w:t>
      </w:r>
      <w:proofErr w:type="spellEnd"/>
      <w:r w:rsidRPr="004A592F">
        <w:rPr>
          <w:rFonts w:ascii="Times New Roman" w:hAnsi="Times New Roman"/>
          <w:lang w:val="en-US"/>
        </w:rPr>
        <w:t xml:space="preserve">) and heat generation by a heat pump for thermal protection of a building of Levels I, II and III by a heat pump (using </w:t>
      </w:r>
      <w:proofErr w:type="spellStart"/>
      <w:r w:rsidRPr="004A592F">
        <w:rPr>
          <w:rFonts w:ascii="Times New Roman" w:hAnsi="Times New Roman"/>
          <w:lang w:val="en-US"/>
        </w:rPr>
        <w:t>GeoTSOL</w:t>
      </w:r>
      <w:proofErr w:type="spellEnd"/>
      <w:r w:rsidRPr="004A592F">
        <w:rPr>
          <w:rFonts w:ascii="Times New Roman" w:hAnsi="Times New Roman"/>
          <w:lang w:val="en-US"/>
        </w:rPr>
        <w:t>) during the heating season in the consideration of the heating demand of an existing building are shown in Figure 2.</w:t>
      </w:r>
    </w:p>
    <w:p w14:paraId="7A62C956" w14:textId="1EB363C5" w:rsidR="008900FC" w:rsidRPr="004A592F" w:rsidRDefault="008900FC" w:rsidP="008900FC">
      <w:pPr>
        <w:spacing w:after="0" w:line="240" w:lineRule="auto"/>
        <w:ind w:firstLine="284"/>
        <w:jc w:val="both"/>
        <w:rPr>
          <w:rFonts w:ascii="Times New Roman" w:hAnsi="Times New Roman"/>
          <w:lang w:val="en-US"/>
        </w:rPr>
      </w:pPr>
      <w:r w:rsidRPr="004A592F">
        <w:rPr>
          <w:rFonts w:ascii="Times New Roman" w:hAnsi="Times New Roman"/>
          <w:lang w:val="en-US"/>
        </w:rPr>
        <w:t>Taking into account the dynamic mode</w:t>
      </w:r>
      <w:r w:rsidR="004D5C85">
        <w:rPr>
          <w:rFonts w:ascii="Times New Roman" w:hAnsi="Times New Roman"/>
          <w:lang w:val="en-US"/>
        </w:rPr>
        <w:t>l</w:t>
      </w:r>
      <w:r w:rsidRPr="004A592F">
        <w:rPr>
          <w:rFonts w:ascii="Times New Roman" w:hAnsi="Times New Roman"/>
          <w:lang w:val="en-US"/>
        </w:rPr>
        <w:t xml:space="preserve">ling data in </w:t>
      </w:r>
      <w:proofErr w:type="spellStart"/>
      <w:r w:rsidRPr="004A592F">
        <w:rPr>
          <w:rFonts w:ascii="Times New Roman" w:hAnsi="Times New Roman"/>
          <w:lang w:val="en-US"/>
        </w:rPr>
        <w:t>GeoTSOL</w:t>
      </w:r>
      <w:proofErr w:type="spellEnd"/>
      <w:r w:rsidRPr="004A592F">
        <w:rPr>
          <w:rFonts w:ascii="Times New Roman" w:hAnsi="Times New Roman"/>
          <w:lang w:val="en-US"/>
        </w:rPr>
        <w:t xml:space="preserve"> and the amount of heating demand at different levels of thermal protection of the building obtained as a result of mode</w:t>
      </w:r>
      <w:r w:rsidR="004D5C85">
        <w:rPr>
          <w:rFonts w:ascii="Times New Roman" w:hAnsi="Times New Roman"/>
          <w:lang w:val="en-US"/>
        </w:rPr>
        <w:t>l</w:t>
      </w:r>
      <w:r w:rsidRPr="004A592F">
        <w:rPr>
          <w:rFonts w:ascii="Times New Roman" w:hAnsi="Times New Roman"/>
          <w:lang w:val="en-US"/>
        </w:rPr>
        <w:t xml:space="preserve">ling in </w:t>
      </w:r>
      <w:proofErr w:type="spellStart"/>
      <w:r w:rsidRPr="004A592F">
        <w:rPr>
          <w:rFonts w:ascii="Times New Roman" w:hAnsi="Times New Roman"/>
          <w:lang w:val="en-US"/>
        </w:rPr>
        <w:t>DesignBuilder</w:t>
      </w:r>
      <w:proofErr w:type="spellEnd"/>
      <w:r w:rsidRPr="004A592F">
        <w:rPr>
          <w:rFonts w:ascii="Times New Roman" w:hAnsi="Times New Roman"/>
          <w:lang w:val="en-US"/>
        </w:rPr>
        <w:t xml:space="preserve"> (Table 1), the heat pump covers a significant share of the required energy for heating an uninsulated building (43.3%) and </w:t>
      </w:r>
      <w:r w:rsidR="004D5C85">
        <w:rPr>
          <w:rFonts w:ascii="Times New Roman" w:hAnsi="Times New Roman"/>
          <w:lang w:val="en-US"/>
        </w:rPr>
        <w:t>can</w:t>
      </w:r>
      <w:r w:rsidRPr="004A592F">
        <w:rPr>
          <w:rFonts w:ascii="Times New Roman" w:hAnsi="Times New Roman"/>
          <w:lang w:val="en-US"/>
        </w:rPr>
        <w:t xml:space="preserve"> provide the necessary heat for a building insulated to the requirements of Ukraine and Sweden. At the same time, the </w:t>
      </w:r>
      <w:proofErr w:type="spellStart"/>
      <w:r w:rsidRPr="004A592F">
        <w:rPr>
          <w:rFonts w:ascii="Times New Roman" w:hAnsi="Times New Roman"/>
          <w:lang w:val="en-US"/>
        </w:rPr>
        <w:t>GeoTSOL</w:t>
      </w:r>
      <w:proofErr w:type="spellEnd"/>
      <w:r w:rsidRPr="004A592F">
        <w:rPr>
          <w:rFonts w:ascii="Times New Roman" w:hAnsi="Times New Roman"/>
          <w:lang w:val="en-US"/>
        </w:rPr>
        <w:t xml:space="preserve"> software makes it possible to estimate the amount of electricity required for the heat pump, which is one of the key factors in calculating the integrated costs of heating a</w:t>
      </w:r>
      <w:r w:rsidR="00DB374A">
        <w:rPr>
          <w:rFonts w:ascii="Times New Roman" w:hAnsi="Times New Roman"/>
          <w:lang w:val="en-US"/>
        </w:rPr>
        <w:t> </w:t>
      </w:r>
      <w:r w:rsidRPr="004A592F">
        <w:rPr>
          <w:rFonts w:ascii="Times New Roman" w:hAnsi="Times New Roman"/>
          <w:lang w:val="en-US"/>
        </w:rPr>
        <w:t>building. In particular, the energy consumption of a system with a heat pump at the level of thermal protection of a building that meets the requirements of Ukraine and Sweden is 40.51 MWh and 28.92 MWh during the heating season, respectively.</w:t>
      </w:r>
    </w:p>
    <w:p w14:paraId="2890B330" w14:textId="6B76A515" w:rsidR="008900FC" w:rsidRPr="004A592F" w:rsidRDefault="004D5C85" w:rsidP="008900FC">
      <w:pPr>
        <w:spacing w:after="0" w:line="240" w:lineRule="auto"/>
        <w:ind w:firstLine="284"/>
        <w:jc w:val="both"/>
        <w:rPr>
          <w:rFonts w:ascii="Times New Roman" w:hAnsi="Times New Roman"/>
          <w:lang w:val="en-US"/>
        </w:rPr>
      </w:pPr>
      <w:r>
        <w:rPr>
          <w:rFonts w:ascii="Times New Roman" w:hAnsi="Times New Roman"/>
          <w:lang w:val="en-US"/>
        </w:rPr>
        <w:t>T</w:t>
      </w:r>
      <w:r w:rsidR="008900FC" w:rsidRPr="004A592F">
        <w:rPr>
          <w:rFonts w:ascii="Times New Roman" w:hAnsi="Times New Roman"/>
          <w:lang w:val="en-US"/>
        </w:rPr>
        <w:t xml:space="preserve">he environmental impact and integrated cost of building heating costs were </w:t>
      </w:r>
      <w:proofErr w:type="spellStart"/>
      <w:r w:rsidR="008900FC" w:rsidRPr="004A592F">
        <w:rPr>
          <w:rFonts w:ascii="Times New Roman" w:hAnsi="Times New Roman"/>
          <w:lang w:val="en-US"/>
        </w:rPr>
        <w:t>analy</w:t>
      </w:r>
      <w:r>
        <w:rPr>
          <w:rFonts w:ascii="Times New Roman" w:hAnsi="Times New Roman"/>
          <w:lang w:val="en-US"/>
        </w:rPr>
        <w:t>s</w:t>
      </w:r>
      <w:r w:rsidR="008900FC" w:rsidRPr="004A592F">
        <w:rPr>
          <w:rFonts w:ascii="Times New Roman" w:hAnsi="Times New Roman"/>
          <w:lang w:val="en-US"/>
        </w:rPr>
        <w:t>ed</w:t>
      </w:r>
      <w:proofErr w:type="spellEnd"/>
      <w:r w:rsidR="008900FC" w:rsidRPr="004A592F">
        <w:rPr>
          <w:rFonts w:ascii="Times New Roman" w:hAnsi="Times New Roman"/>
          <w:lang w:val="en-US"/>
        </w:rPr>
        <w:t xml:space="preserve"> for three levels of thermal protection in use</w:t>
      </w:r>
      <w:r w:rsidRPr="004D5C85">
        <w:rPr>
          <w:rFonts w:ascii="Times New Roman" w:hAnsi="Times New Roman"/>
          <w:lang w:val="en-US"/>
        </w:rPr>
        <w:t xml:space="preserve"> </w:t>
      </w:r>
      <w:r>
        <w:rPr>
          <w:rFonts w:ascii="Times New Roman" w:hAnsi="Times New Roman"/>
          <w:lang w:val="en-US"/>
        </w:rPr>
        <w:t>t</w:t>
      </w:r>
      <w:r w:rsidRPr="004A592F">
        <w:rPr>
          <w:rFonts w:ascii="Times New Roman" w:hAnsi="Times New Roman"/>
          <w:lang w:val="en-US"/>
        </w:rPr>
        <w:t>o assess the effectiveness of improving the thermal envelope of the building and replacing the energy source</w:t>
      </w:r>
      <w:r w:rsidR="008900FC" w:rsidRPr="004A592F">
        <w:rPr>
          <w:rFonts w:ascii="Times New Roman" w:hAnsi="Times New Roman"/>
          <w:lang w:val="en-US"/>
        </w:rPr>
        <w:t>:</w:t>
      </w:r>
    </w:p>
    <w:p w14:paraId="523709F5" w14:textId="65841D86" w:rsidR="008900FC" w:rsidRPr="003542F9" w:rsidRDefault="008900FC" w:rsidP="008900FC">
      <w:pPr>
        <w:pStyle w:val="Akapitzlist"/>
        <w:numPr>
          <w:ilvl w:val="0"/>
          <w:numId w:val="31"/>
        </w:numPr>
        <w:spacing w:after="0" w:line="240" w:lineRule="auto"/>
        <w:ind w:left="364"/>
        <w:jc w:val="both"/>
        <w:rPr>
          <w:rFonts w:ascii="Times New Roman" w:hAnsi="Times New Roman"/>
          <w:lang w:val="en-US"/>
        </w:rPr>
      </w:pPr>
      <w:r w:rsidRPr="003542F9">
        <w:rPr>
          <w:rFonts w:ascii="Times New Roman" w:hAnsi="Times New Roman"/>
          <w:lang w:val="en-US"/>
        </w:rPr>
        <w:t>natural gas boiler (</w:t>
      </w:r>
      <w:r w:rsidR="004D5C85">
        <w:rPr>
          <w:rFonts w:ascii="Times New Roman" w:hAnsi="Times New Roman"/>
          <w:lang w:val="en-US"/>
        </w:rPr>
        <w:t>from now on</w:t>
      </w:r>
      <w:r w:rsidRPr="003542F9">
        <w:rPr>
          <w:rFonts w:ascii="Times New Roman" w:hAnsi="Times New Roman"/>
          <w:lang w:val="en-US"/>
        </w:rPr>
        <w:t xml:space="preserve"> referred to as 1),</w:t>
      </w:r>
    </w:p>
    <w:p w14:paraId="2485EDD2" w14:textId="77777777" w:rsidR="008900FC" w:rsidRPr="003542F9" w:rsidRDefault="008900FC" w:rsidP="008900FC">
      <w:pPr>
        <w:pStyle w:val="Akapitzlist"/>
        <w:numPr>
          <w:ilvl w:val="0"/>
          <w:numId w:val="31"/>
        </w:numPr>
        <w:spacing w:after="0" w:line="240" w:lineRule="auto"/>
        <w:ind w:left="364"/>
        <w:jc w:val="both"/>
        <w:rPr>
          <w:rFonts w:ascii="Times New Roman" w:hAnsi="Times New Roman"/>
          <w:lang w:val="en-US"/>
        </w:rPr>
      </w:pPr>
      <w:r w:rsidRPr="003542F9">
        <w:rPr>
          <w:rFonts w:ascii="Times New Roman" w:hAnsi="Times New Roman"/>
          <w:lang w:val="en-US"/>
        </w:rPr>
        <w:t>boiler on sunflower husk pellets (2),</w:t>
      </w:r>
    </w:p>
    <w:p w14:paraId="410167C2" w14:textId="77777777" w:rsidR="008900FC" w:rsidRPr="003542F9" w:rsidRDefault="008900FC" w:rsidP="008900FC">
      <w:pPr>
        <w:pStyle w:val="Akapitzlist"/>
        <w:numPr>
          <w:ilvl w:val="0"/>
          <w:numId w:val="31"/>
        </w:numPr>
        <w:spacing w:after="0" w:line="240" w:lineRule="auto"/>
        <w:ind w:left="364"/>
        <w:jc w:val="both"/>
        <w:rPr>
          <w:rFonts w:ascii="Times New Roman" w:hAnsi="Times New Roman"/>
          <w:lang w:val="en-US"/>
        </w:rPr>
      </w:pPr>
      <w:r w:rsidRPr="003542F9">
        <w:rPr>
          <w:rFonts w:ascii="Times New Roman" w:hAnsi="Times New Roman"/>
          <w:lang w:val="en-US"/>
        </w:rPr>
        <w:t>heat pump (3).</w:t>
      </w:r>
    </w:p>
    <w:p w14:paraId="5C5BEB06" w14:textId="77777777" w:rsidR="00A517E2" w:rsidRPr="004A592F" w:rsidRDefault="00A517E2" w:rsidP="008B761A">
      <w:pPr>
        <w:spacing w:after="0" w:line="240" w:lineRule="auto"/>
        <w:ind w:firstLine="284"/>
        <w:jc w:val="both"/>
        <w:rPr>
          <w:rFonts w:ascii="Times New Roman" w:eastAsia="Times New Roman" w:hAnsi="Times New Roman"/>
          <w:bCs/>
          <w:iCs/>
          <w:lang w:val="en-US" w:eastAsia="ru-RU"/>
        </w:rPr>
      </w:pPr>
    </w:p>
    <w:p w14:paraId="0B243F63" w14:textId="77777777" w:rsidR="001532A7" w:rsidRPr="004A592F" w:rsidRDefault="001532A7" w:rsidP="001532A7">
      <w:pPr>
        <w:spacing w:after="0" w:line="240" w:lineRule="auto"/>
        <w:ind w:firstLine="284"/>
        <w:jc w:val="both"/>
        <w:rPr>
          <w:rFonts w:ascii="Times New Roman" w:hAnsi="Times New Roman"/>
          <w:lang w:val="en-US"/>
        </w:rPr>
      </w:pPr>
    </w:p>
    <w:p w14:paraId="7BE35F4F" w14:textId="35B0AE3D" w:rsidR="006A0D15" w:rsidRPr="00563D9C" w:rsidRDefault="006A0D15" w:rsidP="006A0D15">
      <w:pPr>
        <w:spacing w:after="0" w:line="240" w:lineRule="auto"/>
        <w:ind w:firstLine="284"/>
        <w:jc w:val="both"/>
        <w:rPr>
          <w:rFonts w:ascii="Times New Roman" w:hAnsi="Times New Roman"/>
          <w:lang w:val="en-US"/>
        </w:rPr>
      </w:pPr>
      <w:r w:rsidRPr="00563D9C">
        <w:rPr>
          <w:rFonts w:ascii="Times New Roman" w:hAnsi="Times New Roman"/>
          <w:lang w:val="en-US"/>
        </w:rPr>
        <w:lastRenderedPageBreak/>
        <w:t xml:space="preserve">The use of renewable energy sources for building heating, improving the thermal protection of the building and, accordingly, </w:t>
      </w:r>
      <w:proofErr w:type="spellStart"/>
      <w:r w:rsidRPr="00563D9C">
        <w:rPr>
          <w:rFonts w:ascii="Times New Roman" w:hAnsi="Times New Roman"/>
          <w:lang w:val="en-US"/>
        </w:rPr>
        <w:t>minimi</w:t>
      </w:r>
      <w:r w:rsidR="004D5C85">
        <w:rPr>
          <w:rFonts w:ascii="Times New Roman" w:hAnsi="Times New Roman"/>
          <w:lang w:val="en-US"/>
        </w:rPr>
        <w:t>s</w:t>
      </w:r>
      <w:r w:rsidRPr="00563D9C">
        <w:rPr>
          <w:rFonts w:ascii="Times New Roman" w:hAnsi="Times New Roman"/>
          <w:lang w:val="en-US"/>
        </w:rPr>
        <w:t>ing</w:t>
      </w:r>
      <w:proofErr w:type="spellEnd"/>
      <w:r w:rsidRPr="00563D9C">
        <w:rPr>
          <w:rFonts w:ascii="Times New Roman" w:hAnsi="Times New Roman"/>
          <w:lang w:val="en-US"/>
        </w:rPr>
        <w:t xml:space="preserve"> fuel consumption are the so-called technological steps towards the </w:t>
      </w:r>
      <w:proofErr w:type="spellStart"/>
      <w:r w:rsidRPr="00563D9C">
        <w:rPr>
          <w:rFonts w:ascii="Times New Roman" w:hAnsi="Times New Roman"/>
          <w:lang w:val="en-US"/>
        </w:rPr>
        <w:t>reali</w:t>
      </w:r>
      <w:r w:rsidR="004D5C85">
        <w:rPr>
          <w:rFonts w:ascii="Times New Roman" w:hAnsi="Times New Roman"/>
          <w:lang w:val="en-US"/>
        </w:rPr>
        <w:t>s</w:t>
      </w:r>
      <w:r w:rsidRPr="00563D9C">
        <w:rPr>
          <w:rFonts w:ascii="Times New Roman" w:hAnsi="Times New Roman"/>
          <w:lang w:val="en-US"/>
        </w:rPr>
        <w:t>ation</w:t>
      </w:r>
      <w:proofErr w:type="spellEnd"/>
      <w:r w:rsidRPr="00563D9C">
        <w:rPr>
          <w:rFonts w:ascii="Times New Roman" w:hAnsi="Times New Roman"/>
          <w:lang w:val="en-US"/>
        </w:rPr>
        <w:t xml:space="preserve"> of buildings with </w:t>
      </w:r>
      <w:proofErr w:type="spellStart"/>
      <w:r w:rsidRPr="00563D9C">
        <w:rPr>
          <w:rFonts w:ascii="Times New Roman" w:hAnsi="Times New Roman"/>
          <w:lang w:val="en-US"/>
        </w:rPr>
        <w:t>nZEB</w:t>
      </w:r>
      <w:proofErr w:type="spellEnd"/>
      <w:r w:rsidRPr="00563D9C">
        <w:rPr>
          <w:rFonts w:ascii="Times New Roman" w:hAnsi="Times New Roman"/>
          <w:lang w:val="en-US"/>
        </w:rPr>
        <w:t>. Meeting the heating demand from renewable energy sources and creating a</w:t>
      </w:r>
      <w:r w:rsidR="00DB374A">
        <w:rPr>
          <w:rFonts w:ascii="Times New Roman" w:hAnsi="Times New Roman"/>
          <w:lang w:val="en-US"/>
        </w:rPr>
        <w:t> </w:t>
      </w:r>
      <w:r w:rsidRPr="00563D9C">
        <w:rPr>
          <w:rFonts w:ascii="Times New Roman" w:hAnsi="Times New Roman"/>
          <w:lang w:val="en-US"/>
        </w:rPr>
        <w:t>highly energy-efficient building envelope helps to reduce the overall carbon dioxide emissions and brings the building closer to carbon neutrality, and scaling up the above technologies will reduce the global carbon footprint of the construction sector (</w:t>
      </w:r>
      <w:r w:rsidRPr="00563D9C">
        <w:rPr>
          <w:rFonts w:ascii="Times New Roman" w:eastAsia="Times New Roman" w:hAnsi="Times New Roman"/>
          <w:lang w:val="en-US" w:eastAsia="ru-RU"/>
        </w:rPr>
        <w:t xml:space="preserve">Smirnova </w:t>
      </w:r>
      <w:r w:rsidRPr="00563D9C">
        <w:rPr>
          <w:rFonts w:ascii="Times New Roman" w:hAnsi="Times New Roman"/>
          <w:lang w:val="en-US"/>
        </w:rPr>
        <w:t xml:space="preserve">et al. 2022). To assess the prospects for reducing emissions when using </w:t>
      </w:r>
      <w:proofErr w:type="spellStart"/>
      <w:r w:rsidRPr="00563D9C">
        <w:rPr>
          <w:rFonts w:ascii="Times New Roman" w:hAnsi="Times New Roman"/>
          <w:lang w:val="en-US"/>
        </w:rPr>
        <w:t>nZEB</w:t>
      </w:r>
      <w:proofErr w:type="spellEnd"/>
      <w:r w:rsidRPr="00563D9C">
        <w:rPr>
          <w:rFonts w:ascii="Times New Roman" w:hAnsi="Times New Roman"/>
          <w:lang w:val="en-US"/>
        </w:rPr>
        <w:t xml:space="preserve"> technologies in construction, we calculated the CO</w:t>
      </w:r>
      <w:r w:rsidRPr="00563D9C">
        <w:rPr>
          <w:rFonts w:ascii="Times New Roman" w:hAnsi="Times New Roman"/>
          <w:vertAlign w:val="subscript"/>
          <w:lang w:val="en-US"/>
        </w:rPr>
        <w:t>2</w:t>
      </w:r>
      <w:r w:rsidRPr="00563D9C">
        <w:rPr>
          <w:rFonts w:ascii="Times New Roman" w:hAnsi="Times New Roman"/>
          <w:lang w:val="en-US"/>
        </w:rPr>
        <w:t xml:space="preserve"> emissions of each </w:t>
      </w:r>
      <w:r w:rsidR="004D5C85">
        <w:rPr>
          <w:rFonts w:ascii="Times New Roman" w:hAnsi="Times New Roman"/>
          <w:lang w:val="en-US"/>
        </w:rPr>
        <w:t>way</w:t>
      </w:r>
      <w:r w:rsidRPr="00563D9C">
        <w:rPr>
          <w:rFonts w:ascii="Times New Roman" w:hAnsi="Times New Roman"/>
          <w:lang w:val="en-US"/>
        </w:rPr>
        <w:t xml:space="preserve"> of </w:t>
      </w:r>
      <w:proofErr w:type="spellStart"/>
      <w:r w:rsidRPr="00563D9C">
        <w:rPr>
          <w:rFonts w:ascii="Times New Roman" w:hAnsi="Times New Roman"/>
          <w:lang w:val="en-US"/>
        </w:rPr>
        <w:t>moderni</w:t>
      </w:r>
      <w:r w:rsidR="004D5C85">
        <w:rPr>
          <w:rFonts w:ascii="Times New Roman" w:hAnsi="Times New Roman"/>
          <w:lang w:val="en-US"/>
        </w:rPr>
        <w:t>s</w:t>
      </w:r>
      <w:r w:rsidRPr="00563D9C">
        <w:rPr>
          <w:rFonts w:ascii="Times New Roman" w:hAnsi="Times New Roman"/>
          <w:lang w:val="en-US"/>
        </w:rPr>
        <w:t>ing</w:t>
      </w:r>
      <w:proofErr w:type="spellEnd"/>
      <w:r w:rsidRPr="00563D9C">
        <w:rPr>
          <w:rFonts w:ascii="Times New Roman" w:hAnsi="Times New Roman"/>
          <w:lang w:val="en-US"/>
        </w:rPr>
        <w:t xml:space="preserve"> the building (the object of study) considered in this paper. In particular, carbon dioxide emissions from the combustion of natural gas (1) were estimated using the international Carbon Footprint Calculator for Individuals and Households, and sunflower husk pellets (2) were estimated using the methodology described in </w:t>
      </w:r>
      <w:r w:rsidRPr="00563D9C">
        <w:rPr>
          <w:rFonts w:ascii="Times New Roman" w:hAnsi="Times New Roman"/>
        </w:rPr>
        <w:t>(</w:t>
      </w:r>
      <w:r w:rsidRPr="00563D9C">
        <w:rPr>
          <w:rFonts w:ascii="Times New Roman" w:hAnsi="Times New Roman"/>
          <w:lang w:val="en-US"/>
        </w:rPr>
        <w:t>Ecological-economic calculations of pollutant emissions</w:t>
      </w:r>
      <w:r w:rsidRPr="00563D9C">
        <w:rPr>
          <w:rFonts w:ascii="Times New Roman" w:hAnsi="Times New Roman"/>
        </w:rPr>
        <w:t>)</w:t>
      </w:r>
      <w:r w:rsidRPr="00563D9C">
        <w:rPr>
          <w:rFonts w:ascii="Times New Roman" w:hAnsi="Times New Roman"/>
          <w:lang w:val="en-US"/>
        </w:rPr>
        <w:t>. CO</w:t>
      </w:r>
      <w:r w:rsidRPr="00563D9C">
        <w:rPr>
          <w:rFonts w:ascii="Times New Roman" w:hAnsi="Times New Roman"/>
          <w:vertAlign w:val="subscript"/>
          <w:lang w:val="en-US"/>
        </w:rPr>
        <w:t>2</w:t>
      </w:r>
      <w:r w:rsidRPr="00563D9C">
        <w:rPr>
          <w:rFonts w:ascii="Times New Roman" w:hAnsi="Times New Roman"/>
          <w:lang w:val="en-US"/>
        </w:rPr>
        <w:t xml:space="preserve"> emissions generated by electricity generation to power the heat pump (3) are calculated according to the case study presented in </w:t>
      </w:r>
      <w:r w:rsidRPr="00563D9C">
        <w:rPr>
          <w:rFonts w:ascii="Times New Roman" w:hAnsi="Times New Roman"/>
        </w:rPr>
        <w:t>(</w:t>
      </w:r>
      <w:r w:rsidRPr="00563D9C">
        <w:rPr>
          <w:rFonts w:ascii="Times New Roman" w:hAnsi="Times New Roman"/>
          <w:lang w:val="en-US"/>
        </w:rPr>
        <w:t>Calculation of CO</w:t>
      </w:r>
      <w:r w:rsidRPr="006A0D15">
        <w:rPr>
          <w:rFonts w:ascii="Times New Roman" w:hAnsi="Times New Roman"/>
          <w:vertAlign w:val="subscript"/>
          <w:lang w:val="en-US"/>
        </w:rPr>
        <w:t>2</w:t>
      </w:r>
      <w:r w:rsidRPr="00563D9C">
        <w:rPr>
          <w:rFonts w:ascii="Times New Roman" w:hAnsi="Times New Roman"/>
          <w:lang w:val="en-US"/>
        </w:rPr>
        <w:t xml:space="preserve"> emission reductions</w:t>
      </w:r>
      <w:r w:rsidRPr="00563D9C">
        <w:rPr>
          <w:rFonts w:ascii="Times New Roman" w:hAnsi="Times New Roman"/>
        </w:rPr>
        <w:t>)</w:t>
      </w:r>
      <w:r w:rsidRPr="00563D9C">
        <w:rPr>
          <w:rFonts w:ascii="Times New Roman" w:hAnsi="Times New Roman"/>
          <w:lang w:val="en-US"/>
        </w:rPr>
        <w:t xml:space="preserve">, </w:t>
      </w:r>
      <w:r w:rsidR="004D5C85">
        <w:rPr>
          <w:rFonts w:ascii="Times New Roman" w:hAnsi="Times New Roman"/>
          <w:lang w:val="en-US"/>
        </w:rPr>
        <w:t>considering</w:t>
      </w:r>
      <w:r w:rsidRPr="00563D9C">
        <w:rPr>
          <w:rFonts w:ascii="Times New Roman" w:hAnsi="Times New Roman"/>
          <w:lang w:val="en-US"/>
        </w:rPr>
        <w:t xml:space="preserve"> the required amount of fuel for electricity generation by a thermal power plant in Ukraine. The amount of carbon dioxide emissions for each </w:t>
      </w:r>
      <w:r w:rsidR="004D5C85">
        <w:rPr>
          <w:rFonts w:ascii="Times New Roman" w:hAnsi="Times New Roman"/>
          <w:lang w:val="en-US"/>
        </w:rPr>
        <w:t>way</w:t>
      </w:r>
      <w:r w:rsidRPr="00563D9C">
        <w:rPr>
          <w:rFonts w:ascii="Times New Roman" w:hAnsi="Times New Roman"/>
          <w:lang w:val="en-US"/>
        </w:rPr>
        <w:t xml:space="preserve"> of </w:t>
      </w:r>
      <w:proofErr w:type="spellStart"/>
      <w:r w:rsidRPr="00563D9C">
        <w:rPr>
          <w:rFonts w:ascii="Times New Roman" w:hAnsi="Times New Roman"/>
          <w:lang w:val="en-US"/>
        </w:rPr>
        <w:t>moderni</w:t>
      </w:r>
      <w:r w:rsidR="004D5C85">
        <w:rPr>
          <w:rFonts w:ascii="Times New Roman" w:hAnsi="Times New Roman"/>
          <w:lang w:val="en-US"/>
        </w:rPr>
        <w:t>s</w:t>
      </w:r>
      <w:r w:rsidRPr="00563D9C">
        <w:rPr>
          <w:rFonts w:ascii="Times New Roman" w:hAnsi="Times New Roman"/>
          <w:lang w:val="en-US"/>
        </w:rPr>
        <w:t>ing</w:t>
      </w:r>
      <w:proofErr w:type="spellEnd"/>
      <w:r w:rsidRPr="00563D9C">
        <w:rPr>
          <w:rFonts w:ascii="Times New Roman" w:hAnsi="Times New Roman"/>
          <w:lang w:val="en-US"/>
        </w:rPr>
        <w:t xml:space="preserve"> the building is shown in Figure 3.</w:t>
      </w:r>
    </w:p>
    <w:p w14:paraId="4F1BE5F1" w14:textId="2E936B12" w:rsidR="00A84087" w:rsidRPr="0034565E" w:rsidRDefault="00A84087" w:rsidP="001532A7">
      <w:pPr>
        <w:spacing w:after="0" w:line="240" w:lineRule="auto"/>
        <w:rPr>
          <w:rFonts w:ascii="Times New Roman" w:eastAsiaTheme="minorHAnsi" w:hAnsi="Times New Roman" w:cstheme="minorBidi"/>
          <w:bCs/>
          <w:kern w:val="2"/>
          <w:szCs w:val="24"/>
          <w:lang w:val="pl-PL" w:eastAsia="ru-RU"/>
        </w:rPr>
      </w:pPr>
    </w:p>
    <w:p w14:paraId="4D54252A" w14:textId="674B4ED3" w:rsidR="0022316A" w:rsidRPr="004A592F" w:rsidRDefault="009B156E" w:rsidP="00154B44">
      <w:pPr>
        <w:pStyle w:val="Rtab"/>
        <w:rPr>
          <w:lang w:eastAsia="ru-RU"/>
        </w:rPr>
      </w:pPr>
      <w:proofErr w:type="spellStart"/>
      <w:r w:rsidRPr="004A592F">
        <w:rPr>
          <w:b/>
          <w:lang w:eastAsia="ru-RU"/>
        </w:rPr>
        <w:t>Table</w:t>
      </w:r>
      <w:proofErr w:type="spellEnd"/>
      <w:r w:rsidR="0022316A" w:rsidRPr="004A592F">
        <w:rPr>
          <w:b/>
          <w:lang w:eastAsia="ru-RU"/>
        </w:rPr>
        <w:t xml:space="preserve"> 2. </w:t>
      </w:r>
      <w:r w:rsidRPr="004A592F">
        <w:rPr>
          <w:lang w:eastAsia="ru-RU"/>
        </w:rPr>
        <w:t xml:space="preserve">Connection diagram and </w:t>
      </w:r>
      <w:proofErr w:type="spellStart"/>
      <w:r w:rsidRPr="004A592F">
        <w:rPr>
          <w:lang w:eastAsia="ru-RU"/>
        </w:rPr>
        <w:t>technical</w:t>
      </w:r>
      <w:proofErr w:type="spellEnd"/>
      <w:r w:rsidRPr="004A592F">
        <w:rPr>
          <w:lang w:eastAsia="ru-RU"/>
        </w:rPr>
        <w:t xml:space="preserve"> </w:t>
      </w:r>
      <w:proofErr w:type="spellStart"/>
      <w:r w:rsidRPr="004A592F">
        <w:rPr>
          <w:lang w:eastAsia="ru-RU"/>
        </w:rPr>
        <w:t>specifications</w:t>
      </w:r>
      <w:proofErr w:type="spellEnd"/>
      <w:r w:rsidRPr="004A592F">
        <w:rPr>
          <w:lang w:eastAsia="ru-RU"/>
        </w:rPr>
        <w:t xml:space="preserve"> of the </w:t>
      </w:r>
      <w:proofErr w:type="spellStart"/>
      <w:r w:rsidRPr="004A592F">
        <w:rPr>
          <w:lang w:eastAsia="ru-RU"/>
        </w:rPr>
        <w:t>equipment</w:t>
      </w:r>
      <w:proofErr w:type="spellEnd"/>
      <w:r w:rsidRPr="004A592F">
        <w:rPr>
          <w:lang w:eastAsia="ru-RU"/>
        </w:rPr>
        <w:t xml:space="preserve"> of the system with a </w:t>
      </w:r>
      <w:proofErr w:type="spellStart"/>
      <w:r w:rsidRPr="004A592F">
        <w:rPr>
          <w:lang w:eastAsia="ru-RU"/>
        </w:rPr>
        <w:t>heat</w:t>
      </w:r>
      <w:proofErr w:type="spellEnd"/>
      <w:r w:rsidRPr="004A592F">
        <w:rPr>
          <w:lang w:eastAsia="ru-RU"/>
        </w:rPr>
        <w:t xml:space="preserve"> pump in </w:t>
      </w:r>
      <w:proofErr w:type="spellStart"/>
      <w:r w:rsidRPr="004A592F">
        <w:rPr>
          <w:lang w:eastAsia="ru-RU"/>
        </w:rPr>
        <w:t>different</w:t>
      </w:r>
      <w:proofErr w:type="spellEnd"/>
      <w:r w:rsidRPr="004A592F">
        <w:rPr>
          <w:lang w:eastAsia="ru-RU"/>
        </w:rPr>
        <w:t xml:space="preserve"> </w:t>
      </w:r>
      <w:proofErr w:type="spellStart"/>
      <w:r w:rsidRPr="004A592F">
        <w:rPr>
          <w:lang w:eastAsia="ru-RU"/>
        </w:rPr>
        <w:t>operating</w:t>
      </w:r>
      <w:proofErr w:type="spellEnd"/>
      <w:r w:rsidRPr="004A592F">
        <w:rPr>
          <w:lang w:eastAsia="ru-RU"/>
        </w:rPr>
        <w:t xml:space="preserve"> </w:t>
      </w:r>
      <w:proofErr w:type="spellStart"/>
      <w:r w:rsidRPr="004A592F">
        <w:rPr>
          <w:lang w:eastAsia="ru-RU"/>
        </w:rPr>
        <w:t>modes</w:t>
      </w:r>
      <w:proofErr w:type="spellEnd"/>
    </w:p>
    <w:tbl>
      <w:tblPr>
        <w:tblStyle w:val="13"/>
        <w:tblW w:w="9676" w:type="dxa"/>
        <w:jc w:val="center"/>
        <w:tblLayout w:type="fixed"/>
        <w:tblLook w:val="04A0" w:firstRow="1" w:lastRow="0" w:firstColumn="1" w:lastColumn="0" w:noHBand="0" w:noVBand="1"/>
      </w:tblPr>
      <w:tblGrid>
        <w:gridCol w:w="728"/>
        <w:gridCol w:w="2126"/>
        <w:gridCol w:w="1379"/>
        <w:gridCol w:w="2023"/>
        <w:gridCol w:w="855"/>
        <w:gridCol w:w="855"/>
        <w:gridCol w:w="855"/>
        <w:gridCol w:w="855"/>
      </w:tblGrid>
      <w:tr w:rsidR="0022316A" w:rsidRPr="00154B44" w14:paraId="70351166" w14:textId="77777777" w:rsidTr="00EE5170">
        <w:trPr>
          <w:trHeight w:val="409"/>
          <w:jc w:val="center"/>
        </w:trPr>
        <w:tc>
          <w:tcPr>
            <w:tcW w:w="728" w:type="dxa"/>
            <w:vMerge w:val="restart"/>
            <w:textDirection w:val="btLr"/>
            <w:vAlign w:val="center"/>
          </w:tcPr>
          <w:p w14:paraId="381083D6" w14:textId="77777777" w:rsidR="0022316A" w:rsidRPr="00154B44" w:rsidRDefault="009B156E" w:rsidP="00EE5170">
            <w:pPr>
              <w:jc w:val="center"/>
              <w:rPr>
                <w:rFonts w:ascii="Times New Roman" w:hAnsi="Times New Roman"/>
                <w:bCs/>
                <w:sz w:val="20"/>
                <w:szCs w:val="20"/>
                <w:lang w:val="en-US"/>
              </w:rPr>
            </w:pPr>
            <w:r w:rsidRPr="00154B44">
              <w:rPr>
                <w:rFonts w:ascii="Times New Roman" w:hAnsi="Times New Roman"/>
                <w:bCs/>
                <w:sz w:val="20"/>
                <w:szCs w:val="20"/>
                <w:lang w:val="en-US"/>
              </w:rPr>
              <w:t>Operating mode</w:t>
            </w:r>
          </w:p>
        </w:tc>
        <w:tc>
          <w:tcPr>
            <w:tcW w:w="2126" w:type="dxa"/>
            <w:vMerge w:val="restart"/>
            <w:vAlign w:val="center"/>
          </w:tcPr>
          <w:p w14:paraId="6C9E6F52" w14:textId="77777777" w:rsidR="0022316A" w:rsidRPr="00154B44" w:rsidRDefault="009B156E" w:rsidP="0022316A">
            <w:pPr>
              <w:ind w:firstLine="32"/>
              <w:jc w:val="center"/>
              <w:rPr>
                <w:rFonts w:ascii="Times New Roman" w:hAnsi="Times New Roman"/>
                <w:bCs/>
                <w:sz w:val="20"/>
                <w:szCs w:val="20"/>
                <w:lang w:val="en-US"/>
              </w:rPr>
            </w:pPr>
            <w:r w:rsidRPr="00154B44">
              <w:rPr>
                <w:rFonts w:ascii="Times New Roman" w:hAnsi="Times New Roman"/>
                <w:bCs/>
                <w:sz w:val="20"/>
                <w:szCs w:val="20"/>
                <w:lang w:val="en-US"/>
              </w:rPr>
              <w:t>System connection diagram</w:t>
            </w:r>
          </w:p>
        </w:tc>
        <w:tc>
          <w:tcPr>
            <w:tcW w:w="1379" w:type="dxa"/>
            <w:vMerge w:val="restart"/>
            <w:vAlign w:val="center"/>
          </w:tcPr>
          <w:p w14:paraId="1521A10A" w14:textId="77777777" w:rsidR="0022316A" w:rsidRPr="00154B44" w:rsidRDefault="009B156E" w:rsidP="0022316A">
            <w:pPr>
              <w:ind w:firstLine="32"/>
              <w:jc w:val="center"/>
              <w:rPr>
                <w:rFonts w:ascii="Times New Roman" w:hAnsi="Times New Roman"/>
                <w:bCs/>
                <w:sz w:val="20"/>
                <w:szCs w:val="20"/>
                <w:lang w:val="en-US"/>
              </w:rPr>
            </w:pPr>
            <w:r w:rsidRPr="00154B44">
              <w:rPr>
                <w:rFonts w:ascii="Times New Roman" w:hAnsi="Times New Roman"/>
                <w:bCs/>
                <w:sz w:val="20"/>
                <w:szCs w:val="20"/>
                <w:lang w:val="en-US"/>
              </w:rPr>
              <w:t>Type of equipment</w:t>
            </w:r>
          </w:p>
        </w:tc>
        <w:tc>
          <w:tcPr>
            <w:tcW w:w="2023" w:type="dxa"/>
            <w:vMerge w:val="restart"/>
            <w:vAlign w:val="center"/>
          </w:tcPr>
          <w:p w14:paraId="462BC709" w14:textId="77777777" w:rsidR="0022316A" w:rsidRPr="00154B44" w:rsidRDefault="009B156E" w:rsidP="0022316A">
            <w:pPr>
              <w:jc w:val="center"/>
              <w:rPr>
                <w:rFonts w:ascii="Times New Roman" w:hAnsi="Times New Roman"/>
                <w:bCs/>
                <w:sz w:val="20"/>
                <w:szCs w:val="20"/>
                <w:lang w:val="en-US"/>
              </w:rPr>
            </w:pPr>
            <w:r w:rsidRPr="00154B44">
              <w:rPr>
                <w:rFonts w:ascii="Times New Roman" w:hAnsi="Times New Roman"/>
                <w:bCs/>
                <w:sz w:val="20"/>
                <w:szCs w:val="20"/>
                <w:lang w:val="en-US"/>
              </w:rPr>
              <w:t>Manufacturer/model</w:t>
            </w:r>
          </w:p>
        </w:tc>
        <w:tc>
          <w:tcPr>
            <w:tcW w:w="3420" w:type="dxa"/>
            <w:gridSpan w:val="4"/>
            <w:vAlign w:val="center"/>
          </w:tcPr>
          <w:p w14:paraId="187F8C46" w14:textId="77777777" w:rsidR="0022316A" w:rsidRPr="00154B44" w:rsidRDefault="009B156E" w:rsidP="009B156E">
            <w:pPr>
              <w:jc w:val="center"/>
              <w:rPr>
                <w:rFonts w:ascii="Times New Roman" w:hAnsi="Times New Roman"/>
                <w:bCs/>
                <w:sz w:val="20"/>
                <w:szCs w:val="20"/>
                <w:lang w:val="en-US"/>
              </w:rPr>
            </w:pPr>
            <w:r w:rsidRPr="00154B44">
              <w:rPr>
                <w:rFonts w:ascii="Times New Roman" w:hAnsi="Times New Roman"/>
                <w:bCs/>
                <w:sz w:val="20"/>
                <w:szCs w:val="20"/>
                <w:lang w:val="en-US"/>
              </w:rPr>
              <w:t>Equipment specifications</w:t>
            </w:r>
          </w:p>
        </w:tc>
      </w:tr>
      <w:tr w:rsidR="0022316A" w:rsidRPr="00154B44" w14:paraId="594AA854" w14:textId="77777777" w:rsidTr="00EE5170">
        <w:trPr>
          <w:cantSplit/>
          <w:trHeight w:val="2269"/>
          <w:jc w:val="center"/>
        </w:trPr>
        <w:tc>
          <w:tcPr>
            <w:tcW w:w="728" w:type="dxa"/>
            <w:vMerge/>
            <w:vAlign w:val="center"/>
          </w:tcPr>
          <w:p w14:paraId="3EE96A32" w14:textId="77777777" w:rsidR="0022316A" w:rsidRPr="00154B44" w:rsidRDefault="0022316A" w:rsidP="00EE5170">
            <w:pPr>
              <w:jc w:val="center"/>
              <w:rPr>
                <w:rFonts w:ascii="Times New Roman" w:hAnsi="Times New Roman"/>
                <w:bCs/>
                <w:sz w:val="20"/>
                <w:szCs w:val="20"/>
                <w:lang w:val="en-US"/>
              </w:rPr>
            </w:pPr>
          </w:p>
        </w:tc>
        <w:tc>
          <w:tcPr>
            <w:tcW w:w="2126" w:type="dxa"/>
            <w:vMerge/>
            <w:vAlign w:val="center"/>
          </w:tcPr>
          <w:p w14:paraId="1B9BC89F" w14:textId="77777777" w:rsidR="0022316A" w:rsidRPr="00154B44" w:rsidRDefault="0022316A" w:rsidP="0022316A">
            <w:pPr>
              <w:ind w:firstLine="32"/>
              <w:jc w:val="center"/>
              <w:rPr>
                <w:rFonts w:ascii="Times New Roman" w:hAnsi="Times New Roman"/>
                <w:bCs/>
                <w:sz w:val="20"/>
                <w:szCs w:val="20"/>
                <w:lang w:val="en-US"/>
              </w:rPr>
            </w:pPr>
          </w:p>
        </w:tc>
        <w:tc>
          <w:tcPr>
            <w:tcW w:w="1379" w:type="dxa"/>
            <w:vMerge/>
            <w:vAlign w:val="center"/>
          </w:tcPr>
          <w:p w14:paraId="426C480A" w14:textId="77777777" w:rsidR="0022316A" w:rsidRPr="00154B44" w:rsidRDefault="0022316A" w:rsidP="0022316A">
            <w:pPr>
              <w:ind w:firstLine="32"/>
              <w:jc w:val="center"/>
              <w:rPr>
                <w:rFonts w:ascii="Times New Roman" w:hAnsi="Times New Roman"/>
                <w:bCs/>
                <w:sz w:val="20"/>
                <w:szCs w:val="20"/>
                <w:lang w:val="en-US"/>
              </w:rPr>
            </w:pPr>
          </w:p>
        </w:tc>
        <w:tc>
          <w:tcPr>
            <w:tcW w:w="2023" w:type="dxa"/>
            <w:vMerge/>
            <w:vAlign w:val="center"/>
          </w:tcPr>
          <w:p w14:paraId="4F147E06" w14:textId="77777777" w:rsidR="0022316A" w:rsidRPr="00154B44" w:rsidRDefault="0022316A" w:rsidP="0022316A">
            <w:pPr>
              <w:jc w:val="center"/>
              <w:rPr>
                <w:rFonts w:ascii="Times New Roman" w:hAnsi="Times New Roman"/>
                <w:bCs/>
                <w:sz w:val="20"/>
                <w:szCs w:val="20"/>
                <w:lang w:val="en-US"/>
              </w:rPr>
            </w:pPr>
          </w:p>
        </w:tc>
        <w:tc>
          <w:tcPr>
            <w:tcW w:w="855" w:type="dxa"/>
            <w:textDirection w:val="btLr"/>
            <w:vAlign w:val="center"/>
          </w:tcPr>
          <w:p w14:paraId="60339694" w14:textId="77777777" w:rsidR="0022316A" w:rsidRPr="00154B44" w:rsidRDefault="009B156E" w:rsidP="008900FC">
            <w:pPr>
              <w:ind w:left="113"/>
              <w:rPr>
                <w:rFonts w:ascii="Times New Roman" w:hAnsi="Times New Roman"/>
                <w:bCs/>
                <w:sz w:val="20"/>
                <w:szCs w:val="20"/>
                <w:lang w:val="en-US"/>
              </w:rPr>
            </w:pPr>
            <w:proofErr w:type="spellStart"/>
            <w:r w:rsidRPr="00154B44">
              <w:rPr>
                <w:rFonts w:ascii="Times New Roman" w:hAnsi="Times New Roman"/>
                <w:bCs/>
                <w:sz w:val="20"/>
                <w:szCs w:val="20"/>
                <w:lang w:val="en-US"/>
              </w:rPr>
              <w:t>Pnom</w:t>
            </w:r>
            <w:proofErr w:type="spellEnd"/>
            <w:r w:rsidR="0022316A" w:rsidRPr="00154B44">
              <w:rPr>
                <w:rFonts w:ascii="Times New Roman" w:hAnsi="Times New Roman"/>
                <w:bCs/>
                <w:sz w:val="20"/>
                <w:szCs w:val="20"/>
                <w:lang w:val="en-US"/>
              </w:rPr>
              <w:t xml:space="preserve">., </w:t>
            </w:r>
            <w:r w:rsidRPr="00154B44">
              <w:rPr>
                <w:rFonts w:ascii="Times New Roman" w:hAnsi="Times New Roman"/>
                <w:bCs/>
                <w:sz w:val="20"/>
                <w:szCs w:val="20"/>
                <w:lang w:val="en-US"/>
              </w:rPr>
              <w:t>kW</w:t>
            </w:r>
          </w:p>
        </w:tc>
        <w:tc>
          <w:tcPr>
            <w:tcW w:w="855" w:type="dxa"/>
            <w:textDirection w:val="btLr"/>
            <w:vAlign w:val="center"/>
          </w:tcPr>
          <w:p w14:paraId="362482E8" w14:textId="77777777" w:rsidR="0022316A" w:rsidRPr="00154B44" w:rsidRDefault="009B156E" w:rsidP="008900FC">
            <w:pPr>
              <w:ind w:left="113"/>
              <w:rPr>
                <w:rFonts w:ascii="Times New Roman" w:hAnsi="Times New Roman"/>
                <w:bCs/>
                <w:sz w:val="20"/>
                <w:szCs w:val="20"/>
                <w:lang w:val="en-US"/>
              </w:rPr>
            </w:pPr>
            <w:r w:rsidRPr="00154B44">
              <w:rPr>
                <w:rFonts w:ascii="Times New Roman" w:hAnsi="Times New Roman"/>
                <w:bCs/>
                <w:sz w:val="20"/>
                <w:szCs w:val="20"/>
                <w:lang w:val="en-US"/>
              </w:rPr>
              <w:t>Boiler efficiency</w:t>
            </w:r>
            <w:r w:rsidR="0022316A" w:rsidRPr="00154B44">
              <w:rPr>
                <w:rFonts w:ascii="Times New Roman" w:hAnsi="Times New Roman"/>
                <w:bCs/>
                <w:sz w:val="20"/>
                <w:szCs w:val="20"/>
                <w:lang w:val="en-US"/>
              </w:rPr>
              <w:t>, %</w:t>
            </w:r>
          </w:p>
        </w:tc>
        <w:tc>
          <w:tcPr>
            <w:tcW w:w="855" w:type="dxa"/>
            <w:textDirection w:val="btLr"/>
            <w:vAlign w:val="center"/>
          </w:tcPr>
          <w:p w14:paraId="31BEE1A3" w14:textId="77777777" w:rsidR="0022316A" w:rsidRPr="00154B44" w:rsidRDefault="009B156E" w:rsidP="008900FC">
            <w:pPr>
              <w:ind w:left="113"/>
              <w:rPr>
                <w:rFonts w:ascii="Times New Roman" w:hAnsi="Times New Roman"/>
                <w:bCs/>
                <w:sz w:val="20"/>
                <w:szCs w:val="20"/>
                <w:lang w:val="en-US"/>
              </w:rPr>
            </w:pPr>
            <w:r w:rsidRPr="00154B44">
              <w:rPr>
                <w:rFonts w:ascii="Times New Roman" w:hAnsi="Times New Roman"/>
                <w:bCs/>
                <w:sz w:val="20"/>
                <w:szCs w:val="20"/>
                <w:lang w:val="en-US"/>
              </w:rPr>
              <w:t>Heat pump's COP</w:t>
            </w:r>
          </w:p>
        </w:tc>
        <w:tc>
          <w:tcPr>
            <w:tcW w:w="855" w:type="dxa"/>
            <w:textDirection w:val="btLr"/>
            <w:vAlign w:val="center"/>
          </w:tcPr>
          <w:p w14:paraId="02E2FE83" w14:textId="77777777" w:rsidR="0022316A" w:rsidRPr="00154B44" w:rsidRDefault="009B156E" w:rsidP="008900FC">
            <w:pPr>
              <w:ind w:left="113"/>
              <w:rPr>
                <w:rFonts w:ascii="Times New Roman" w:hAnsi="Times New Roman"/>
                <w:bCs/>
                <w:sz w:val="20"/>
                <w:szCs w:val="20"/>
                <w:lang w:val="en-US"/>
              </w:rPr>
            </w:pPr>
            <w:r w:rsidRPr="00154B44">
              <w:rPr>
                <w:rFonts w:ascii="Times New Roman" w:hAnsi="Times New Roman"/>
                <w:bCs/>
                <w:sz w:val="20"/>
                <w:szCs w:val="20"/>
                <w:lang w:val="en-US"/>
              </w:rPr>
              <w:t>Storage tank volume, L</w:t>
            </w:r>
          </w:p>
        </w:tc>
      </w:tr>
      <w:tr w:rsidR="003B3EF4" w:rsidRPr="004A592F" w14:paraId="21DDE385" w14:textId="77777777" w:rsidTr="00EE5170">
        <w:trPr>
          <w:cantSplit/>
          <w:trHeight w:val="1176"/>
          <w:jc w:val="center"/>
        </w:trPr>
        <w:tc>
          <w:tcPr>
            <w:tcW w:w="728" w:type="dxa"/>
            <w:vMerge w:val="restart"/>
            <w:textDirection w:val="btLr"/>
            <w:vAlign w:val="center"/>
          </w:tcPr>
          <w:p w14:paraId="202875F6" w14:textId="77777777" w:rsidR="003B3EF4" w:rsidRPr="00154B44" w:rsidRDefault="003B3EF4" w:rsidP="00EE5170">
            <w:pPr>
              <w:ind w:left="113" w:right="113"/>
              <w:jc w:val="center"/>
              <w:rPr>
                <w:rFonts w:ascii="Times New Roman" w:hAnsi="Times New Roman"/>
                <w:sz w:val="20"/>
                <w:szCs w:val="20"/>
                <w:lang w:val="en-US"/>
              </w:rPr>
            </w:pPr>
            <w:r w:rsidRPr="00154B44">
              <w:rPr>
                <w:rFonts w:ascii="Times New Roman" w:hAnsi="Times New Roman"/>
                <w:sz w:val="20"/>
                <w:szCs w:val="20"/>
                <w:lang w:val="en-US"/>
              </w:rPr>
              <w:t>bivalent partially parallel</w:t>
            </w:r>
          </w:p>
        </w:tc>
        <w:tc>
          <w:tcPr>
            <w:tcW w:w="2126" w:type="dxa"/>
            <w:vMerge w:val="restart"/>
            <w:vAlign w:val="center"/>
          </w:tcPr>
          <w:p w14:paraId="4B4227DF" w14:textId="77777777" w:rsidR="003B3EF4" w:rsidRPr="00154B44" w:rsidRDefault="003B3EF4" w:rsidP="00607161">
            <w:pPr>
              <w:ind w:firstLine="32"/>
              <w:jc w:val="center"/>
              <w:rPr>
                <w:rFonts w:ascii="Times New Roman" w:hAnsi="Times New Roman"/>
                <w:sz w:val="20"/>
                <w:szCs w:val="20"/>
                <w:lang w:val="en-US"/>
              </w:rPr>
            </w:pPr>
            <w:r w:rsidRPr="00154B44">
              <w:rPr>
                <w:rFonts w:ascii="Times New Roman" w:hAnsi="Times New Roman"/>
                <w:noProof/>
                <w:sz w:val="20"/>
                <w:szCs w:val="20"/>
                <w:lang w:val="ru-RU" w:eastAsia="ru-RU"/>
              </w:rPr>
              <w:drawing>
                <wp:inline distT="0" distB="0" distL="0" distR="0" wp14:anchorId="121F7121" wp14:editId="5B43A7D3">
                  <wp:extent cx="1056823" cy="7848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аписати.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5850" cy="806417"/>
                          </a:xfrm>
                          <a:prstGeom prst="rect">
                            <a:avLst/>
                          </a:prstGeom>
                        </pic:spPr>
                      </pic:pic>
                    </a:graphicData>
                  </a:graphic>
                </wp:inline>
              </w:drawing>
            </w:r>
          </w:p>
        </w:tc>
        <w:tc>
          <w:tcPr>
            <w:tcW w:w="1379" w:type="dxa"/>
            <w:vAlign w:val="center"/>
          </w:tcPr>
          <w:p w14:paraId="4400771E" w14:textId="4543F8FA" w:rsidR="003B3EF4" w:rsidRPr="00154B44" w:rsidRDefault="003B3EF4" w:rsidP="0022316A">
            <w:pPr>
              <w:ind w:firstLine="32"/>
              <w:jc w:val="center"/>
              <w:rPr>
                <w:rFonts w:ascii="Times New Roman" w:hAnsi="Times New Roman"/>
                <w:sz w:val="20"/>
                <w:szCs w:val="20"/>
                <w:lang w:val="en-US"/>
              </w:rPr>
            </w:pPr>
            <w:r w:rsidRPr="00154B44">
              <w:rPr>
                <w:rFonts w:ascii="Times New Roman" w:hAnsi="Times New Roman"/>
                <w:sz w:val="20"/>
                <w:szCs w:val="20"/>
                <w:lang w:val="en-US"/>
              </w:rPr>
              <w:t xml:space="preserve">Boiler </w:t>
            </w:r>
            <w:r w:rsidR="00B87157">
              <w:rPr>
                <w:rFonts w:ascii="Times New Roman" w:hAnsi="Times New Roman"/>
                <w:sz w:val="20"/>
                <w:szCs w:val="20"/>
                <w:lang w:val="en-US"/>
              </w:rPr>
              <w:br/>
            </w:r>
            <w:r w:rsidRPr="00154B44">
              <w:rPr>
                <w:rFonts w:ascii="Times New Roman" w:hAnsi="Times New Roman"/>
                <w:sz w:val="20"/>
                <w:szCs w:val="20"/>
                <w:lang w:val="en-US"/>
              </w:rPr>
              <w:t>running on natural gas</w:t>
            </w:r>
          </w:p>
        </w:tc>
        <w:tc>
          <w:tcPr>
            <w:tcW w:w="2023" w:type="dxa"/>
            <w:vAlign w:val="center"/>
          </w:tcPr>
          <w:p w14:paraId="60E6A352" w14:textId="77777777" w:rsidR="003B3EF4" w:rsidRPr="00154B44" w:rsidRDefault="003B3EF4" w:rsidP="0022316A">
            <w:pPr>
              <w:jc w:val="center"/>
              <w:rPr>
                <w:rFonts w:ascii="Times New Roman" w:hAnsi="Times New Roman"/>
                <w:sz w:val="20"/>
                <w:szCs w:val="20"/>
                <w:lang w:val="en-US"/>
              </w:rPr>
            </w:pPr>
            <w:r w:rsidRPr="00154B44">
              <w:rPr>
                <w:rFonts w:ascii="Times New Roman" w:hAnsi="Times New Roman"/>
                <w:sz w:val="20"/>
                <w:szCs w:val="20"/>
                <w:lang w:val="en-US"/>
              </w:rPr>
              <w:t xml:space="preserve">Viessmann Werke GmbH &amp; Co KG/ </w:t>
            </w:r>
            <w:proofErr w:type="spellStart"/>
            <w:r w:rsidRPr="00154B44">
              <w:rPr>
                <w:rFonts w:ascii="Times New Roman" w:hAnsi="Times New Roman"/>
                <w:sz w:val="20"/>
                <w:szCs w:val="20"/>
                <w:lang w:val="en-US"/>
              </w:rPr>
              <w:t>Vitoradial</w:t>
            </w:r>
            <w:proofErr w:type="spellEnd"/>
            <w:r w:rsidRPr="00154B44">
              <w:rPr>
                <w:rFonts w:ascii="Times New Roman" w:hAnsi="Times New Roman"/>
                <w:sz w:val="20"/>
                <w:szCs w:val="20"/>
                <w:lang w:val="en-US"/>
              </w:rPr>
              <w:t xml:space="preserve"> 300-T</w:t>
            </w:r>
          </w:p>
        </w:tc>
        <w:tc>
          <w:tcPr>
            <w:tcW w:w="855" w:type="dxa"/>
            <w:vAlign w:val="center"/>
          </w:tcPr>
          <w:p w14:paraId="0B147070" w14:textId="77777777" w:rsidR="003B3EF4" w:rsidRPr="00154B44" w:rsidRDefault="003B3EF4" w:rsidP="00607161">
            <w:pPr>
              <w:jc w:val="center"/>
              <w:rPr>
                <w:rFonts w:ascii="Times New Roman" w:hAnsi="Times New Roman"/>
                <w:sz w:val="20"/>
                <w:szCs w:val="20"/>
                <w:lang w:val="en-US"/>
              </w:rPr>
            </w:pPr>
            <w:r w:rsidRPr="00154B44">
              <w:rPr>
                <w:rFonts w:ascii="Times New Roman" w:hAnsi="Times New Roman"/>
                <w:sz w:val="20"/>
                <w:szCs w:val="20"/>
                <w:lang w:val="en-US"/>
              </w:rPr>
              <w:t>407.0</w:t>
            </w:r>
          </w:p>
        </w:tc>
        <w:tc>
          <w:tcPr>
            <w:tcW w:w="855" w:type="dxa"/>
            <w:vAlign w:val="center"/>
          </w:tcPr>
          <w:p w14:paraId="2A2A1E87" w14:textId="77777777" w:rsidR="003B3EF4" w:rsidRPr="00154B44" w:rsidRDefault="003B3EF4" w:rsidP="0022316A">
            <w:pPr>
              <w:jc w:val="center"/>
              <w:rPr>
                <w:rFonts w:ascii="Times New Roman" w:hAnsi="Times New Roman"/>
                <w:sz w:val="20"/>
                <w:szCs w:val="20"/>
                <w:lang w:val="en-US"/>
              </w:rPr>
            </w:pPr>
            <w:r w:rsidRPr="00154B44">
              <w:rPr>
                <w:rFonts w:ascii="Times New Roman" w:hAnsi="Times New Roman"/>
                <w:sz w:val="20"/>
                <w:szCs w:val="20"/>
                <w:lang w:val="en-US"/>
              </w:rPr>
              <w:t>97</w:t>
            </w:r>
          </w:p>
        </w:tc>
        <w:tc>
          <w:tcPr>
            <w:tcW w:w="855" w:type="dxa"/>
            <w:vAlign w:val="center"/>
          </w:tcPr>
          <w:p w14:paraId="2CE1F078" w14:textId="593333B6" w:rsidR="003B3EF4" w:rsidRPr="00154B44" w:rsidRDefault="00A84087" w:rsidP="0022316A">
            <w:pPr>
              <w:ind w:firstLine="34"/>
              <w:jc w:val="center"/>
              <w:rPr>
                <w:rFonts w:ascii="Times New Roman" w:hAnsi="Times New Roman"/>
                <w:sz w:val="20"/>
                <w:szCs w:val="20"/>
                <w:lang w:val="en-US"/>
              </w:rPr>
            </w:pPr>
            <w:r>
              <w:rPr>
                <w:rFonts w:ascii="Times New Roman" w:hAnsi="Times New Roman"/>
                <w:sz w:val="20"/>
                <w:szCs w:val="20"/>
                <w:lang w:val="en-US"/>
              </w:rPr>
              <w:t>–</w:t>
            </w:r>
          </w:p>
        </w:tc>
        <w:tc>
          <w:tcPr>
            <w:tcW w:w="855" w:type="dxa"/>
            <w:vAlign w:val="center"/>
          </w:tcPr>
          <w:p w14:paraId="72D2F3BF" w14:textId="520A81B9" w:rsidR="003B3EF4" w:rsidRPr="00154B44" w:rsidRDefault="00A84087" w:rsidP="0022316A">
            <w:pPr>
              <w:jc w:val="center"/>
              <w:rPr>
                <w:rFonts w:ascii="Times New Roman" w:hAnsi="Times New Roman"/>
                <w:sz w:val="20"/>
                <w:szCs w:val="20"/>
                <w:lang w:val="en-US"/>
              </w:rPr>
            </w:pPr>
            <w:r>
              <w:rPr>
                <w:rFonts w:ascii="Times New Roman" w:hAnsi="Times New Roman"/>
                <w:sz w:val="20"/>
                <w:szCs w:val="20"/>
                <w:lang w:val="en-US"/>
              </w:rPr>
              <w:t>–</w:t>
            </w:r>
          </w:p>
        </w:tc>
      </w:tr>
      <w:tr w:rsidR="003B3EF4" w:rsidRPr="004A592F" w14:paraId="63A4A082" w14:textId="77777777" w:rsidTr="00EE5170">
        <w:trPr>
          <w:trHeight w:val="1491"/>
          <w:jc w:val="center"/>
        </w:trPr>
        <w:tc>
          <w:tcPr>
            <w:tcW w:w="728" w:type="dxa"/>
            <w:vMerge/>
            <w:textDirection w:val="btLr"/>
            <w:vAlign w:val="center"/>
          </w:tcPr>
          <w:p w14:paraId="586E25FA" w14:textId="77777777" w:rsidR="003B3EF4" w:rsidRPr="00154B44" w:rsidRDefault="003B3EF4" w:rsidP="00EE5170">
            <w:pPr>
              <w:ind w:left="113" w:right="113"/>
              <w:jc w:val="center"/>
              <w:rPr>
                <w:rFonts w:ascii="Times New Roman" w:hAnsi="Times New Roman"/>
                <w:sz w:val="20"/>
                <w:szCs w:val="20"/>
                <w:lang w:val="en-US"/>
              </w:rPr>
            </w:pPr>
          </w:p>
        </w:tc>
        <w:tc>
          <w:tcPr>
            <w:tcW w:w="2126" w:type="dxa"/>
            <w:vMerge/>
            <w:vAlign w:val="center"/>
          </w:tcPr>
          <w:p w14:paraId="14B3DEA9" w14:textId="77777777" w:rsidR="003B3EF4" w:rsidRPr="00154B44" w:rsidRDefault="003B3EF4" w:rsidP="00607161">
            <w:pPr>
              <w:ind w:firstLine="32"/>
              <w:jc w:val="center"/>
              <w:rPr>
                <w:rFonts w:ascii="Times New Roman" w:hAnsi="Times New Roman"/>
                <w:sz w:val="20"/>
                <w:szCs w:val="20"/>
                <w:lang w:val="en-US"/>
              </w:rPr>
            </w:pPr>
          </w:p>
        </w:tc>
        <w:tc>
          <w:tcPr>
            <w:tcW w:w="1379" w:type="dxa"/>
            <w:vAlign w:val="center"/>
          </w:tcPr>
          <w:p w14:paraId="5371B004" w14:textId="77777777" w:rsidR="003B3EF4" w:rsidRPr="00154B44" w:rsidRDefault="003B3EF4" w:rsidP="00607161">
            <w:pPr>
              <w:ind w:firstLine="32"/>
              <w:jc w:val="center"/>
              <w:rPr>
                <w:rFonts w:ascii="Times New Roman" w:hAnsi="Times New Roman"/>
                <w:sz w:val="20"/>
                <w:szCs w:val="20"/>
                <w:lang w:val="en-US"/>
              </w:rPr>
            </w:pPr>
            <w:r w:rsidRPr="00154B44">
              <w:rPr>
                <w:rFonts w:ascii="Times New Roman" w:hAnsi="Times New Roman"/>
                <w:sz w:val="20"/>
                <w:szCs w:val="20"/>
                <w:lang w:val="en-US"/>
              </w:rPr>
              <w:t>Storage tank (buffer tank)</w:t>
            </w:r>
          </w:p>
        </w:tc>
        <w:tc>
          <w:tcPr>
            <w:tcW w:w="2023" w:type="dxa"/>
            <w:vAlign w:val="center"/>
          </w:tcPr>
          <w:p w14:paraId="4B7A7340" w14:textId="77777777" w:rsidR="003B3EF4" w:rsidRPr="00154B44" w:rsidRDefault="003B3EF4" w:rsidP="00607161">
            <w:pPr>
              <w:jc w:val="center"/>
              <w:rPr>
                <w:rFonts w:ascii="Times New Roman" w:hAnsi="Times New Roman"/>
                <w:sz w:val="20"/>
                <w:szCs w:val="20"/>
                <w:lang w:val="en-US"/>
              </w:rPr>
            </w:pPr>
            <w:r w:rsidRPr="00154B44">
              <w:rPr>
                <w:rFonts w:ascii="Times New Roman" w:hAnsi="Times New Roman"/>
                <w:sz w:val="20"/>
                <w:szCs w:val="20"/>
                <w:lang w:val="en-US"/>
              </w:rPr>
              <w:t xml:space="preserve">Viessmann Werke GmbH &amp; Co KG/ </w:t>
            </w:r>
            <w:proofErr w:type="spellStart"/>
            <w:r w:rsidRPr="00154B44">
              <w:rPr>
                <w:rFonts w:ascii="Times New Roman" w:hAnsi="Times New Roman"/>
                <w:sz w:val="20"/>
                <w:szCs w:val="20"/>
                <w:lang w:val="en-US"/>
              </w:rPr>
              <w:t>Vitocell</w:t>
            </w:r>
            <w:proofErr w:type="spellEnd"/>
            <w:r w:rsidRPr="00154B44">
              <w:rPr>
                <w:rFonts w:ascii="Times New Roman" w:hAnsi="Times New Roman"/>
                <w:sz w:val="20"/>
                <w:szCs w:val="20"/>
                <w:lang w:val="en-US"/>
              </w:rPr>
              <w:t xml:space="preserve"> 100 – W</w:t>
            </w:r>
          </w:p>
        </w:tc>
        <w:tc>
          <w:tcPr>
            <w:tcW w:w="855" w:type="dxa"/>
            <w:vAlign w:val="center"/>
          </w:tcPr>
          <w:p w14:paraId="33A44A5F" w14:textId="6C78A73B" w:rsidR="003B3EF4" w:rsidRPr="00154B44" w:rsidRDefault="00A84087" w:rsidP="00607161">
            <w:pPr>
              <w:jc w:val="center"/>
              <w:rPr>
                <w:rFonts w:ascii="Times New Roman" w:hAnsi="Times New Roman"/>
                <w:sz w:val="20"/>
                <w:szCs w:val="20"/>
                <w:lang w:val="en-US"/>
              </w:rPr>
            </w:pPr>
            <w:r>
              <w:rPr>
                <w:rFonts w:ascii="Times New Roman" w:hAnsi="Times New Roman"/>
                <w:sz w:val="20"/>
                <w:szCs w:val="20"/>
                <w:lang w:val="en-US"/>
              </w:rPr>
              <w:t>–</w:t>
            </w:r>
          </w:p>
        </w:tc>
        <w:tc>
          <w:tcPr>
            <w:tcW w:w="855" w:type="dxa"/>
            <w:vAlign w:val="center"/>
          </w:tcPr>
          <w:p w14:paraId="40C5FC79" w14:textId="05AB887C" w:rsidR="003B3EF4" w:rsidRPr="00154B44" w:rsidRDefault="00A84087" w:rsidP="00607161">
            <w:pPr>
              <w:jc w:val="center"/>
              <w:rPr>
                <w:rFonts w:ascii="Times New Roman" w:hAnsi="Times New Roman"/>
                <w:sz w:val="20"/>
                <w:szCs w:val="20"/>
                <w:lang w:val="en-US"/>
              </w:rPr>
            </w:pPr>
            <w:r>
              <w:rPr>
                <w:rFonts w:ascii="Times New Roman" w:hAnsi="Times New Roman"/>
                <w:sz w:val="20"/>
                <w:szCs w:val="20"/>
                <w:lang w:val="en-US"/>
              </w:rPr>
              <w:t>–</w:t>
            </w:r>
          </w:p>
        </w:tc>
        <w:tc>
          <w:tcPr>
            <w:tcW w:w="855" w:type="dxa"/>
            <w:vAlign w:val="center"/>
          </w:tcPr>
          <w:p w14:paraId="06737F42" w14:textId="299FD237" w:rsidR="003B3EF4" w:rsidRPr="00154B44" w:rsidRDefault="00A84087" w:rsidP="00607161">
            <w:pPr>
              <w:ind w:firstLine="34"/>
              <w:jc w:val="center"/>
              <w:rPr>
                <w:rFonts w:ascii="Times New Roman" w:hAnsi="Times New Roman"/>
                <w:sz w:val="20"/>
                <w:szCs w:val="20"/>
                <w:lang w:val="en-US"/>
              </w:rPr>
            </w:pPr>
            <w:r>
              <w:rPr>
                <w:rFonts w:ascii="Times New Roman" w:hAnsi="Times New Roman"/>
                <w:sz w:val="20"/>
                <w:szCs w:val="20"/>
                <w:lang w:val="en-US"/>
              </w:rPr>
              <w:t>–</w:t>
            </w:r>
          </w:p>
        </w:tc>
        <w:tc>
          <w:tcPr>
            <w:tcW w:w="855" w:type="dxa"/>
            <w:vAlign w:val="center"/>
          </w:tcPr>
          <w:p w14:paraId="17E5BD87" w14:textId="77777777" w:rsidR="003B3EF4" w:rsidRPr="00154B44" w:rsidRDefault="003B3EF4" w:rsidP="00607161">
            <w:pPr>
              <w:jc w:val="center"/>
              <w:rPr>
                <w:rFonts w:ascii="Times New Roman" w:hAnsi="Times New Roman"/>
                <w:sz w:val="20"/>
                <w:szCs w:val="20"/>
                <w:lang w:val="en-US"/>
              </w:rPr>
            </w:pPr>
            <w:r w:rsidRPr="00154B44">
              <w:rPr>
                <w:rFonts w:ascii="Times New Roman" w:hAnsi="Times New Roman"/>
                <w:sz w:val="20"/>
                <w:szCs w:val="20"/>
                <w:lang w:val="en-US"/>
              </w:rPr>
              <w:t>120</w:t>
            </w:r>
          </w:p>
        </w:tc>
      </w:tr>
      <w:tr w:rsidR="003B3EF4" w:rsidRPr="004A592F" w14:paraId="288AC213" w14:textId="77777777" w:rsidTr="00EE5170">
        <w:trPr>
          <w:trHeight w:val="998"/>
          <w:jc w:val="center"/>
        </w:trPr>
        <w:tc>
          <w:tcPr>
            <w:tcW w:w="728" w:type="dxa"/>
            <w:vMerge/>
            <w:vAlign w:val="center"/>
          </w:tcPr>
          <w:p w14:paraId="3DAE8B78" w14:textId="77777777" w:rsidR="003B3EF4" w:rsidRPr="00154B44" w:rsidRDefault="003B3EF4" w:rsidP="00EE5170">
            <w:pPr>
              <w:jc w:val="center"/>
              <w:rPr>
                <w:rFonts w:ascii="Times New Roman" w:hAnsi="Times New Roman"/>
                <w:sz w:val="20"/>
                <w:szCs w:val="20"/>
                <w:lang w:val="en-US"/>
              </w:rPr>
            </w:pPr>
          </w:p>
        </w:tc>
        <w:tc>
          <w:tcPr>
            <w:tcW w:w="2126" w:type="dxa"/>
            <w:vMerge/>
          </w:tcPr>
          <w:p w14:paraId="6C29582D" w14:textId="77777777" w:rsidR="003B3EF4" w:rsidRPr="00154B44" w:rsidRDefault="003B3EF4" w:rsidP="0022316A">
            <w:pPr>
              <w:ind w:firstLine="32"/>
              <w:rPr>
                <w:rFonts w:ascii="Times New Roman" w:hAnsi="Times New Roman"/>
                <w:sz w:val="20"/>
                <w:szCs w:val="20"/>
                <w:lang w:val="en-US"/>
              </w:rPr>
            </w:pPr>
          </w:p>
        </w:tc>
        <w:tc>
          <w:tcPr>
            <w:tcW w:w="1379" w:type="dxa"/>
            <w:vMerge w:val="restart"/>
            <w:vAlign w:val="center"/>
          </w:tcPr>
          <w:p w14:paraId="0928B189" w14:textId="77777777" w:rsidR="003B3EF4" w:rsidRPr="00154B44" w:rsidRDefault="003B3EF4" w:rsidP="0022316A">
            <w:pPr>
              <w:ind w:firstLine="32"/>
              <w:jc w:val="center"/>
              <w:rPr>
                <w:rFonts w:ascii="Times New Roman" w:hAnsi="Times New Roman"/>
                <w:sz w:val="20"/>
                <w:szCs w:val="20"/>
                <w:lang w:val="en-US"/>
              </w:rPr>
            </w:pPr>
            <w:r w:rsidRPr="00154B44">
              <w:rPr>
                <w:rFonts w:ascii="Times New Roman" w:hAnsi="Times New Roman"/>
                <w:sz w:val="20"/>
                <w:szCs w:val="20"/>
                <w:lang w:val="en-US"/>
              </w:rPr>
              <w:t>Air-to-water heat pump</w:t>
            </w:r>
          </w:p>
        </w:tc>
        <w:tc>
          <w:tcPr>
            <w:tcW w:w="2023" w:type="dxa"/>
            <w:vMerge w:val="restart"/>
            <w:vAlign w:val="center"/>
          </w:tcPr>
          <w:p w14:paraId="792F798E" w14:textId="77777777" w:rsidR="003B3EF4" w:rsidRPr="00154B44" w:rsidRDefault="003B3EF4" w:rsidP="0022316A">
            <w:pPr>
              <w:jc w:val="center"/>
              <w:rPr>
                <w:rFonts w:ascii="Times New Roman" w:hAnsi="Times New Roman"/>
                <w:sz w:val="20"/>
                <w:szCs w:val="20"/>
                <w:lang w:val="en-US"/>
              </w:rPr>
            </w:pPr>
            <w:r w:rsidRPr="00154B44">
              <w:rPr>
                <w:rFonts w:ascii="Times New Roman" w:hAnsi="Times New Roman"/>
                <w:sz w:val="20"/>
                <w:szCs w:val="20"/>
                <w:lang w:val="en-US"/>
              </w:rPr>
              <w:t xml:space="preserve">Waterkotte GmbH/ </w:t>
            </w:r>
            <w:proofErr w:type="spellStart"/>
            <w:r w:rsidRPr="00154B44">
              <w:rPr>
                <w:rFonts w:ascii="Times New Roman" w:hAnsi="Times New Roman"/>
                <w:sz w:val="20"/>
                <w:szCs w:val="20"/>
                <w:lang w:val="en-US"/>
              </w:rPr>
              <w:t>EcoTouch</w:t>
            </w:r>
            <w:proofErr w:type="spellEnd"/>
            <w:r w:rsidRPr="00154B44">
              <w:rPr>
                <w:rFonts w:ascii="Times New Roman" w:hAnsi="Times New Roman"/>
                <w:sz w:val="20"/>
                <w:szCs w:val="20"/>
                <w:lang w:val="en-US"/>
              </w:rPr>
              <w:t xml:space="preserve"> Air </w:t>
            </w:r>
            <w:proofErr w:type="spellStart"/>
            <w:r w:rsidRPr="00154B44">
              <w:rPr>
                <w:rFonts w:ascii="Times New Roman" w:hAnsi="Times New Roman"/>
                <w:sz w:val="20"/>
                <w:szCs w:val="20"/>
                <w:lang w:val="en-US"/>
              </w:rPr>
              <w:t>Kaskade</w:t>
            </w:r>
            <w:proofErr w:type="spellEnd"/>
            <w:r w:rsidRPr="00154B44">
              <w:rPr>
                <w:rFonts w:ascii="Times New Roman" w:hAnsi="Times New Roman"/>
                <w:sz w:val="20"/>
                <w:szCs w:val="20"/>
                <w:lang w:val="en-US"/>
              </w:rPr>
              <w:t xml:space="preserve"> 5120.5</w:t>
            </w:r>
          </w:p>
        </w:tc>
        <w:tc>
          <w:tcPr>
            <w:tcW w:w="855" w:type="dxa"/>
            <w:vMerge w:val="restart"/>
            <w:vAlign w:val="center"/>
          </w:tcPr>
          <w:p w14:paraId="2D5743E8" w14:textId="77777777" w:rsidR="003B3EF4" w:rsidRPr="00154B44" w:rsidRDefault="003B3EF4" w:rsidP="00607161">
            <w:pPr>
              <w:jc w:val="center"/>
              <w:rPr>
                <w:rFonts w:ascii="Times New Roman" w:hAnsi="Times New Roman"/>
                <w:sz w:val="20"/>
                <w:szCs w:val="20"/>
                <w:lang w:val="en-US"/>
              </w:rPr>
            </w:pPr>
            <w:r w:rsidRPr="00154B44">
              <w:rPr>
                <w:rFonts w:ascii="Times New Roman" w:hAnsi="Times New Roman"/>
                <w:sz w:val="20"/>
                <w:szCs w:val="20"/>
                <w:lang w:val="en-US"/>
              </w:rPr>
              <w:t>107.2</w:t>
            </w:r>
          </w:p>
        </w:tc>
        <w:tc>
          <w:tcPr>
            <w:tcW w:w="855" w:type="dxa"/>
            <w:vMerge w:val="restart"/>
            <w:vAlign w:val="center"/>
          </w:tcPr>
          <w:p w14:paraId="07D4F6EC" w14:textId="6B3064B4" w:rsidR="003B3EF4" w:rsidRPr="00154B44" w:rsidRDefault="00A84087" w:rsidP="0022316A">
            <w:pPr>
              <w:jc w:val="center"/>
              <w:rPr>
                <w:rFonts w:ascii="Times New Roman" w:hAnsi="Times New Roman"/>
                <w:sz w:val="20"/>
                <w:szCs w:val="20"/>
                <w:lang w:val="en-US"/>
              </w:rPr>
            </w:pPr>
            <w:r>
              <w:rPr>
                <w:rFonts w:ascii="Times New Roman" w:hAnsi="Times New Roman"/>
                <w:sz w:val="20"/>
                <w:szCs w:val="20"/>
                <w:lang w:val="en-US"/>
              </w:rPr>
              <w:t>–</w:t>
            </w:r>
            <w:r w:rsidR="003B3EF4" w:rsidRPr="00154B44">
              <w:rPr>
                <w:rFonts w:ascii="Times New Roman" w:hAnsi="Times New Roman"/>
                <w:sz w:val="20"/>
                <w:szCs w:val="20"/>
                <w:lang w:val="en-US"/>
              </w:rPr>
              <w:t xml:space="preserve"> </w:t>
            </w:r>
          </w:p>
        </w:tc>
        <w:tc>
          <w:tcPr>
            <w:tcW w:w="855" w:type="dxa"/>
            <w:vMerge w:val="restart"/>
            <w:vAlign w:val="center"/>
          </w:tcPr>
          <w:p w14:paraId="101174D5" w14:textId="77777777" w:rsidR="003B3EF4" w:rsidRPr="00154B44" w:rsidRDefault="003B3EF4" w:rsidP="00607161">
            <w:pPr>
              <w:ind w:firstLine="34"/>
              <w:jc w:val="center"/>
              <w:rPr>
                <w:rFonts w:ascii="Times New Roman" w:hAnsi="Times New Roman"/>
                <w:sz w:val="20"/>
                <w:szCs w:val="20"/>
                <w:lang w:val="en-US"/>
              </w:rPr>
            </w:pPr>
            <w:r w:rsidRPr="00154B44">
              <w:rPr>
                <w:rFonts w:ascii="Times New Roman" w:hAnsi="Times New Roman"/>
                <w:sz w:val="20"/>
                <w:szCs w:val="20"/>
                <w:lang w:val="en-US"/>
              </w:rPr>
              <w:t>5.0</w:t>
            </w:r>
          </w:p>
        </w:tc>
        <w:tc>
          <w:tcPr>
            <w:tcW w:w="855" w:type="dxa"/>
            <w:vMerge w:val="restart"/>
            <w:vAlign w:val="center"/>
          </w:tcPr>
          <w:p w14:paraId="08BBD298" w14:textId="64B12623" w:rsidR="003B3EF4" w:rsidRPr="00154B44" w:rsidRDefault="00A84087" w:rsidP="0022316A">
            <w:pPr>
              <w:jc w:val="center"/>
              <w:rPr>
                <w:rFonts w:ascii="Times New Roman" w:hAnsi="Times New Roman"/>
                <w:sz w:val="20"/>
                <w:szCs w:val="20"/>
                <w:lang w:val="en-US"/>
              </w:rPr>
            </w:pPr>
            <w:r>
              <w:rPr>
                <w:rFonts w:ascii="Times New Roman" w:hAnsi="Times New Roman"/>
                <w:sz w:val="20"/>
                <w:szCs w:val="20"/>
                <w:lang w:val="en-US"/>
              </w:rPr>
              <w:t>–</w:t>
            </w:r>
          </w:p>
        </w:tc>
      </w:tr>
      <w:tr w:rsidR="0022316A" w:rsidRPr="004A592F" w14:paraId="08EC9B43" w14:textId="77777777" w:rsidTr="00EE5170">
        <w:trPr>
          <w:trHeight w:val="713"/>
          <w:jc w:val="center"/>
        </w:trPr>
        <w:tc>
          <w:tcPr>
            <w:tcW w:w="728" w:type="dxa"/>
            <w:vMerge w:val="restart"/>
            <w:textDirection w:val="btLr"/>
            <w:vAlign w:val="center"/>
          </w:tcPr>
          <w:p w14:paraId="6E4416DC" w14:textId="77B81F15" w:rsidR="0022316A" w:rsidRPr="00154B44" w:rsidRDefault="00607161" w:rsidP="00EE5170">
            <w:pPr>
              <w:jc w:val="center"/>
              <w:rPr>
                <w:rFonts w:ascii="Times New Roman" w:hAnsi="Times New Roman"/>
                <w:sz w:val="20"/>
                <w:szCs w:val="20"/>
                <w:lang w:val="en-US"/>
              </w:rPr>
            </w:pPr>
            <w:r w:rsidRPr="00154B44">
              <w:rPr>
                <w:rFonts w:ascii="Times New Roman" w:hAnsi="Times New Roman"/>
                <w:sz w:val="20"/>
                <w:szCs w:val="20"/>
                <w:lang w:val="en-US"/>
              </w:rPr>
              <w:t xml:space="preserve">single-energy </w:t>
            </w:r>
            <w:r w:rsidR="00B87157">
              <w:rPr>
                <w:rFonts w:ascii="Times New Roman" w:hAnsi="Times New Roman"/>
                <w:sz w:val="20"/>
                <w:szCs w:val="20"/>
                <w:lang w:val="en-US"/>
              </w:rPr>
              <w:br/>
            </w:r>
            <w:r w:rsidRPr="00154B44">
              <w:rPr>
                <w:rFonts w:ascii="Times New Roman" w:hAnsi="Times New Roman"/>
                <w:sz w:val="20"/>
                <w:szCs w:val="20"/>
                <w:lang w:val="en-US"/>
              </w:rPr>
              <w:t>partially parallel</w:t>
            </w:r>
          </w:p>
        </w:tc>
        <w:tc>
          <w:tcPr>
            <w:tcW w:w="2126" w:type="dxa"/>
            <w:vMerge w:val="restart"/>
            <w:vAlign w:val="center"/>
          </w:tcPr>
          <w:p w14:paraId="452DEC75" w14:textId="77777777" w:rsidR="0022316A" w:rsidRPr="00154B44" w:rsidRDefault="0022316A" w:rsidP="0022316A">
            <w:pPr>
              <w:ind w:firstLine="32"/>
              <w:jc w:val="center"/>
              <w:rPr>
                <w:rFonts w:ascii="Times New Roman" w:hAnsi="Times New Roman"/>
                <w:sz w:val="20"/>
                <w:szCs w:val="20"/>
                <w:lang w:val="en-US"/>
              </w:rPr>
            </w:pPr>
            <w:r w:rsidRPr="00154B44">
              <w:rPr>
                <w:rFonts w:ascii="Times New Roman" w:hAnsi="Times New Roman"/>
                <w:noProof/>
                <w:sz w:val="20"/>
                <w:szCs w:val="20"/>
                <w:lang w:val="ru-RU" w:eastAsia="ru-RU"/>
              </w:rPr>
              <w:drawing>
                <wp:inline distT="0" distB="0" distL="0" distR="0" wp14:anchorId="4D8A2344" wp14:editId="4777CAD5">
                  <wp:extent cx="1219200" cy="108857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250686" cy="1116684"/>
                          </a:xfrm>
                          <a:prstGeom prst="rect">
                            <a:avLst/>
                          </a:prstGeom>
                        </pic:spPr>
                      </pic:pic>
                    </a:graphicData>
                  </a:graphic>
                </wp:inline>
              </w:drawing>
            </w:r>
          </w:p>
        </w:tc>
        <w:tc>
          <w:tcPr>
            <w:tcW w:w="1379" w:type="dxa"/>
            <w:vMerge/>
            <w:vAlign w:val="center"/>
          </w:tcPr>
          <w:p w14:paraId="0DD52C22" w14:textId="77777777" w:rsidR="0022316A" w:rsidRPr="00154B44" w:rsidRDefault="0022316A" w:rsidP="0022316A">
            <w:pPr>
              <w:ind w:firstLine="32"/>
              <w:jc w:val="center"/>
              <w:rPr>
                <w:rFonts w:ascii="Times New Roman" w:hAnsi="Times New Roman"/>
                <w:sz w:val="20"/>
                <w:szCs w:val="20"/>
                <w:lang w:val="en-US"/>
              </w:rPr>
            </w:pPr>
          </w:p>
        </w:tc>
        <w:tc>
          <w:tcPr>
            <w:tcW w:w="2023" w:type="dxa"/>
            <w:vMerge/>
            <w:vAlign w:val="center"/>
          </w:tcPr>
          <w:p w14:paraId="460ACFD8" w14:textId="77777777" w:rsidR="0022316A" w:rsidRPr="00154B44" w:rsidRDefault="0022316A" w:rsidP="0022316A">
            <w:pPr>
              <w:jc w:val="center"/>
              <w:rPr>
                <w:rFonts w:ascii="Times New Roman" w:hAnsi="Times New Roman"/>
                <w:sz w:val="20"/>
                <w:szCs w:val="20"/>
                <w:lang w:val="en-US"/>
              </w:rPr>
            </w:pPr>
          </w:p>
        </w:tc>
        <w:tc>
          <w:tcPr>
            <w:tcW w:w="855" w:type="dxa"/>
            <w:vMerge/>
            <w:vAlign w:val="center"/>
          </w:tcPr>
          <w:p w14:paraId="27D473DA" w14:textId="77777777" w:rsidR="0022316A" w:rsidRPr="00154B44" w:rsidRDefault="0022316A" w:rsidP="0022316A">
            <w:pPr>
              <w:jc w:val="center"/>
              <w:rPr>
                <w:rFonts w:ascii="Times New Roman" w:hAnsi="Times New Roman"/>
                <w:sz w:val="20"/>
                <w:szCs w:val="20"/>
                <w:lang w:val="en-US"/>
              </w:rPr>
            </w:pPr>
          </w:p>
        </w:tc>
        <w:tc>
          <w:tcPr>
            <w:tcW w:w="855" w:type="dxa"/>
            <w:vMerge/>
            <w:vAlign w:val="center"/>
          </w:tcPr>
          <w:p w14:paraId="1C6D38A1" w14:textId="77777777" w:rsidR="0022316A" w:rsidRPr="00154B44" w:rsidRDefault="0022316A" w:rsidP="0022316A">
            <w:pPr>
              <w:jc w:val="center"/>
              <w:rPr>
                <w:rFonts w:ascii="Times New Roman" w:hAnsi="Times New Roman"/>
                <w:sz w:val="20"/>
                <w:szCs w:val="20"/>
                <w:lang w:val="en-US"/>
              </w:rPr>
            </w:pPr>
          </w:p>
        </w:tc>
        <w:tc>
          <w:tcPr>
            <w:tcW w:w="855" w:type="dxa"/>
            <w:vMerge/>
            <w:vAlign w:val="center"/>
          </w:tcPr>
          <w:p w14:paraId="25224870" w14:textId="77777777" w:rsidR="0022316A" w:rsidRPr="00154B44" w:rsidRDefault="0022316A" w:rsidP="0022316A">
            <w:pPr>
              <w:ind w:firstLine="34"/>
              <w:jc w:val="center"/>
              <w:rPr>
                <w:rFonts w:ascii="Times New Roman" w:hAnsi="Times New Roman"/>
                <w:sz w:val="20"/>
                <w:szCs w:val="20"/>
                <w:lang w:val="en-US"/>
              </w:rPr>
            </w:pPr>
          </w:p>
        </w:tc>
        <w:tc>
          <w:tcPr>
            <w:tcW w:w="855" w:type="dxa"/>
            <w:vMerge/>
            <w:vAlign w:val="center"/>
          </w:tcPr>
          <w:p w14:paraId="2F41C343" w14:textId="77777777" w:rsidR="0022316A" w:rsidRPr="00154B44" w:rsidRDefault="0022316A" w:rsidP="0022316A">
            <w:pPr>
              <w:jc w:val="center"/>
              <w:rPr>
                <w:rFonts w:ascii="Times New Roman" w:hAnsi="Times New Roman"/>
                <w:sz w:val="20"/>
                <w:szCs w:val="20"/>
                <w:lang w:val="en-US"/>
              </w:rPr>
            </w:pPr>
          </w:p>
        </w:tc>
      </w:tr>
      <w:tr w:rsidR="0022316A" w:rsidRPr="004A592F" w14:paraId="16F1D7F9" w14:textId="77777777" w:rsidTr="00EE5170">
        <w:trPr>
          <w:trHeight w:val="1491"/>
          <w:jc w:val="center"/>
        </w:trPr>
        <w:tc>
          <w:tcPr>
            <w:tcW w:w="728" w:type="dxa"/>
            <w:vMerge/>
            <w:textDirection w:val="btLr"/>
          </w:tcPr>
          <w:p w14:paraId="780D1C79" w14:textId="77777777" w:rsidR="0022316A" w:rsidRPr="00154B44" w:rsidRDefault="0022316A" w:rsidP="0022316A">
            <w:pPr>
              <w:ind w:left="113" w:right="113"/>
              <w:jc w:val="center"/>
              <w:rPr>
                <w:rFonts w:ascii="Times New Roman" w:hAnsi="Times New Roman"/>
                <w:sz w:val="20"/>
                <w:szCs w:val="20"/>
                <w:lang w:val="en-US"/>
              </w:rPr>
            </w:pPr>
          </w:p>
        </w:tc>
        <w:tc>
          <w:tcPr>
            <w:tcW w:w="2126" w:type="dxa"/>
            <w:vMerge/>
            <w:vAlign w:val="center"/>
          </w:tcPr>
          <w:p w14:paraId="2A0A4492" w14:textId="77777777" w:rsidR="0022316A" w:rsidRPr="00154B44" w:rsidRDefault="0022316A" w:rsidP="0022316A">
            <w:pPr>
              <w:ind w:firstLine="32"/>
              <w:jc w:val="center"/>
              <w:rPr>
                <w:rFonts w:ascii="Times New Roman" w:hAnsi="Times New Roman"/>
                <w:sz w:val="20"/>
                <w:szCs w:val="20"/>
                <w:lang w:val="en-US"/>
              </w:rPr>
            </w:pPr>
          </w:p>
        </w:tc>
        <w:tc>
          <w:tcPr>
            <w:tcW w:w="1379" w:type="dxa"/>
            <w:vAlign w:val="center"/>
          </w:tcPr>
          <w:p w14:paraId="66F55D31" w14:textId="5BB37459" w:rsidR="0022316A" w:rsidRPr="00154B44" w:rsidRDefault="00607161" w:rsidP="0022316A">
            <w:pPr>
              <w:ind w:firstLine="32"/>
              <w:jc w:val="center"/>
              <w:rPr>
                <w:rFonts w:ascii="Times New Roman" w:hAnsi="Times New Roman"/>
                <w:sz w:val="20"/>
                <w:szCs w:val="20"/>
                <w:lang w:val="en-US"/>
              </w:rPr>
            </w:pPr>
            <w:r w:rsidRPr="00154B44">
              <w:rPr>
                <w:rFonts w:ascii="Times New Roman" w:hAnsi="Times New Roman"/>
                <w:sz w:val="20"/>
                <w:szCs w:val="20"/>
                <w:lang w:val="en-US"/>
              </w:rPr>
              <w:t xml:space="preserve">Heating </w:t>
            </w:r>
            <w:r w:rsidR="00B87157">
              <w:rPr>
                <w:rFonts w:ascii="Times New Roman" w:hAnsi="Times New Roman"/>
                <w:sz w:val="20"/>
                <w:szCs w:val="20"/>
                <w:lang w:val="en-US"/>
              </w:rPr>
              <w:br/>
            </w:r>
            <w:r w:rsidRPr="00154B44">
              <w:rPr>
                <w:rFonts w:ascii="Times New Roman" w:hAnsi="Times New Roman"/>
                <w:sz w:val="20"/>
                <w:szCs w:val="20"/>
                <w:lang w:val="en-US"/>
              </w:rPr>
              <w:t>element</w:t>
            </w:r>
          </w:p>
        </w:tc>
        <w:tc>
          <w:tcPr>
            <w:tcW w:w="2023" w:type="dxa"/>
            <w:vAlign w:val="center"/>
          </w:tcPr>
          <w:p w14:paraId="6E051DEE" w14:textId="77777777" w:rsidR="0022316A" w:rsidRPr="00154B44" w:rsidRDefault="0022316A" w:rsidP="0022316A">
            <w:pPr>
              <w:shd w:val="clear" w:color="auto" w:fill="FFFFFF"/>
              <w:jc w:val="center"/>
              <w:outlineLvl w:val="0"/>
              <w:rPr>
                <w:rFonts w:ascii="Times New Roman" w:hAnsi="Times New Roman"/>
                <w:sz w:val="20"/>
                <w:szCs w:val="20"/>
                <w:lang w:val="en-US"/>
              </w:rPr>
            </w:pPr>
            <w:proofErr w:type="spellStart"/>
            <w:r w:rsidRPr="00154B44">
              <w:rPr>
                <w:rFonts w:ascii="Times New Roman" w:hAnsi="Times New Roman"/>
                <w:sz w:val="20"/>
                <w:szCs w:val="20"/>
                <w:lang w:val="en-US"/>
              </w:rPr>
              <w:t>Drazice</w:t>
            </w:r>
            <w:proofErr w:type="spellEnd"/>
            <w:r w:rsidRPr="00154B44">
              <w:rPr>
                <w:rFonts w:ascii="Times New Roman" w:hAnsi="Times New Roman"/>
                <w:sz w:val="20"/>
                <w:szCs w:val="20"/>
                <w:lang w:val="en-US"/>
              </w:rPr>
              <w:t xml:space="preserve">/ </w:t>
            </w:r>
            <w:proofErr w:type="spellStart"/>
            <w:r w:rsidRPr="00154B44">
              <w:rPr>
                <w:rFonts w:ascii="Times New Roman" w:hAnsi="Times New Roman"/>
                <w:sz w:val="20"/>
                <w:szCs w:val="20"/>
                <w:lang w:val="en-US"/>
              </w:rPr>
              <w:t>tpk</w:t>
            </w:r>
            <w:proofErr w:type="spellEnd"/>
            <w:r w:rsidRPr="00154B44">
              <w:rPr>
                <w:rFonts w:ascii="Times New Roman" w:hAnsi="Times New Roman"/>
                <w:sz w:val="20"/>
                <w:szCs w:val="20"/>
                <w:lang w:val="en-US"/>
              </w:rPr>
              <w:t xml:space="preserve"> 210-12</w:t>
            </w:r>
          </w:p>
        </w:tc>
        <w:tc>
          <w:tcPr>
            <w:tcW w:w="855" w:type="dxa"/>
            <w:vAlign w:val="center"/>
          </w:tcPr>
          <w:p w14:paraId="555A1A56" w14:textId="77777777" w:rsidR="0022316A" w:rsidRPr="00154B44" w:rsidRDefault="0022316A" w:rsidP="0022316A">
            <w:pPr>
              <w:jc w:val="center"/>
              <w:rPr>
                <w:rFonts w:ascii="Times New Roman" w:hAnsi="Times New Roman"/>
                <w:sz w:val="20"/>
                <w:szCs w:val="20"/>
                <w:lang w:val="en-US"/>
              </w:rPr>
            </w:pPr>
            <w:r w:rsidRPr="00154B44">
              <w:rPr>
                <w:rFonts w:ascii="Times New Roman" w:hAnsi="Times New Roman"/>
                <w:sz w:val="20"/>
                <w:szCs w:val="20"/>
                <w:lang w:val="en-US"/>
              </w:rPr>
              <w:t>6</w:t>
            </w:r>
          </w:p>
        </w:tc>
        <w:tc>
          <w:tcPr>
            <w:tcW w:w="855" w:type="dxa"/>
            <w:vAlign w:val="center"/>
          </w:tcPr>
          <w:p w14:paraId="7CB13E37" w14:textId="57BF09D4" w:rsidR="0022316A" w:rsidRPr="00154B44" w:rsidRDefault="00A84087" w:rsidP="0022316A">
            <w:pPr>
              <w:jc w:val="center"/>
              <w:rPr>
                <w:rFonts w:ascii="Times New Roman" w:hAnsi="Times New Roman"/>
                <w:sz w:val="20"/>
                <w:szCs w:val="20"/>
                <w:lang w:val="en-US"/>
              </w:rPr>
            </w:pPr>
            <w:r>
              <w:rPr>
                <w:rFonts w:ascii="Times New Roman" w:hAnsi="Times New Roman"/>
                <w:sz w:val="20"/>
                <w:szCs w:val="20"/>
                <w:lang w:val="en-US"/>
              </w:rPr>
              <w:t>–</w:t>
            </w:r>
          </w:p>
        </w:tc>
        <w:tc>
          <w:tcPr>
            <w:tcW w:w="855" w:type="dxa"/>
            <w:vAlign w:val="center"/>
          </w:tcPr>
          <w:p w14:paraId="36ACB02E" w14:textId="3F465C8F" w:rsidR="0022316A" w:rsidRPr="00154B44" w:rsidRDefault="00A84087" w:rsidP="0022316A">
            <w:pPr>
              <w:ind w:firstLine="34"/>
              <w:jc w:val="center"/>
              <w:rPr>
                <w:rFonts w:ascii="Times New Roman" w:hAnsi="Times New Roman"/>
                <w:sz w:val="20"/>
                <w:szCs w:val="20"/>
                <w:lang w:val="en-US"/>
              </w:rPr>
            </w:pPr>
            <w:r>
              <w:rPr>
                <w:rFonts w:ascii="Times New Roman" w:hAnsi="Times New Roman"/>
                <w:sz w:val="20"/>
                <w:szCs w:val="20"/>
                <w:lang w:val="en-US"/>
              </w:rPr>
              <w:t>–</w:t>
            </w:r>
          </w:p>
        </w:tc>
        <w:tc>
          <w:tcPr>
            <w:tcW w:w="855" w:type="dxa"/>
            <w:vAlign w:val="center"/>
          </w:tcPr>
          <w:p w14:paraId="19EF9347" w14:textId="50E0233A" w:rsidR="0022316A" w:rsidRPr="00154B44" w:rsidRDefault="00A84087" w:rsidP="0022316A">
            <w:pPr>
              <w:jc w:val="center"/>
              <w:rPr>
                <w:rFonts w:ascii="Times New Roman" w:hAnsi="Times New Roman"/>
                <w:sz w:val="20"/>
                <w:szCs w:val="20"/>
                <w:lang w:val="en-US"/>
              </w:rPr>
            </w:pPr>
            <w:r>
              <w:rPr>
                <w:rFonts w:ascii="Times New Roman" w:hAnsi="Times New Roman"/>
                <w:sz w:val="20"/>
                <w:szCs w:val="20"/>
                <w:lang w:val="en-US"/>
              </w:rPr>
              <w:t>–</w:t>
            </w:r>
          </w:p>
        </w:tc>
      </w:tr>
    </w:tbl>
    <w:p w14:paraId="2C560201" w14:textId="77777777" w:rsidR="00154B44" w:rsidRDefault="00154B44" w:rsidP="0022316A">
      <w:pPr>
        <w:spacing w:after="0" w:line="240" w:lineRule="auto"/>
        <w:ind w:firstLine="284"/>
        <w:jc w:val="both"/>
        <w:rPr>
          <w:rFonts w:ascii="Times New Roman" w:hAnsi="Times New Roman"/>
          <w:lang w:val="en-US"/>
        </w:rPr>
      </w:pPr>
    </w:p>
    <w:p w14:paraId="61EEC28C" w14:textId="4D8F73A0" w:rsidR="0022316A" w:rsidRPr="004A592F" w:rsidRDefault="009C7A48" w:rsidP="0022316A">
      <w:pPr>
        <w:spacing w:after="0" w:line="240" w:lineRule="auto"/>
        <w:jc w:val="both"/>
        <w:rPr>
          <w:rFonts w:ascii="Times New Roman" w:hAnsi="Times New Roman"/>
          <w:lang w:val="en-US"/>
        </w:rPr>
      </w:pPr>
      <w:r>
        <w:rPr>
          <w:rFonts w:ascii="Times New Roman" w:hAnsi="Times New Roman"/>
          <w:noProof/>
          <w:lang w:val="en-US"/>
        </w:rPr>
        <w:lastRenderedPageBreak/>
        <w:drawing>
          <wp:inline distT="0" distB="0" distL="0" distR="0" wp14:anchorId="42F7B606" wp14:editId="35F89E1D">
            <wp:extent cx="6099239" cy="4178300"/>
            <wp:effectExtent l="0" t="0" r="0" b="0"/>
            <wp:docPr id="17867410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6084" cy="4182989"/>
                    </a:xfrm>
                    <a:prstGeom prst="rect">
                      <a:avLst/>
                    </a:prstGeom>
                    <a:noFill/>
                  </pic:spPr>
                </pic:pic>
              </a:graphicData>
            </a:graphic>
          </wp:inline>
        </w:drawing>
      </w:r>
    </w:p>
    <w:p w14:paraId="1FAA5080" w14:textId="2E1FDC66" w:rsidR="0022316A" w:rsidRPr="004A592F" w:rsidRDefault="0060345E" w:rsidP="00D55C43">
      <w:pPr>
        <w:pStyle w:val="Rrys"/>
      </w:pPr>
      <w:r w:rsidRPr="004A592F">
        <w:rPr>
          <w:b/>
        </w:rPr>
        <w:t>Fig</w:t>
      </w:r>
      <w:r w:rsidR="00D55C43">
        <w:rPr>
          <w:b/>
        </w:rPr>
        <w:t>.</w:t>
      </w:r>
      <w:r w:rsidRPr="004A592F">
        <w:rPr>
          <w:b/>
        </w:rPr>
        <w:t xml:space="preserve"> </w:t>
      </w:r>
      <w:r w:rsidR="0022316A" w:rsidRPr="004A592F">
        <w:rPr>
          <w:b/>
        </w:rPr>
        <w:t xml:space="preserve">2. </w:t>
      </w:r>
      <w:r w:rsidR="00BE54B7" w:rsidRPr="004A592F">
        <w:t xml:space="preserve">Energy </w:t>
      </w:r>
      <w:proofErr w:type="spellStart"/>
      <w:r w:rsidR="00BE54B7" w:rsidRPr="004A592F">
        <w:t>demand</w:t>
      </w:r>
      <w:proofErr w:type="spellEnd"/>
      <w:r w:rsidR="00BE54B7" w:rsidRPr="004A592F">
        <w:t xml:space="preserve"> of a </w:t>
      </w:r>
      <w:proofErr w:type="spellStart"/>
      <w:r w:rsidR="00BE54B7" w:rsidRPr="004A592F">
        <w:t>building</w:t>
      </w:r>
      <w:proofErr w:type="spellEnd"/>
      <w:r w:rsidR="00BE54B7" w:rsidRPr="004A592F">
        <w:t xml:space="preserve"> for heating and </w:t>
      </w:r>
      <w:proofErr w:type="spellStart"/>
      <w:r w:rsidR="00BE54B7" w:rsidRPr="004A592F">
        <w:t>heat</w:t>
      </w:r>
      <w:proofErr w:type="spellEnd"/>
      <w:r w:rsidR="00BE54B7" w:rsidRPr="004A592F">
        <w:t xml:space="preserve"> </w:t>
      </w:r>
      <w:proofErr w:type="spellStart"/>
      <w:r w:rsidR="00BE54B7" w:rsidRPr="004A592F">
        <w:t>generation</w:t>
      </w:r>
      <w:proofErr w:type="spellEnd"/>
      <w:r w:rsidR="00BE54B7" w:rsidRPr="004A592F">
        <w:t xml:space="preserve"> by a </w:t>
      </w:r>
      <w:proofErr w:type="spellStart"/>
      <w:r w:rsidR="00BE54B7" w:rsidRPr="004A592F">
        <w:t>heat</w:t>
      </w:r>
      <w:proofErr w:type="spellEnd"/>
      <w:r w:rsidR="00BE54B7" w:rsidRPr="004A592F">
        <w:t xml:space="preserve"> pump for </w:t>
      </w:r>
      <w:proofErr w:type="spellStart"/>
      <w:r w:rsidR="00BE54B7" w:rsidRPr="004A592F">
        <w:t>thermal</w:t>
      </w:r>
      <w:proofErr w:type="spellEnd"/>
      <w:r w:rsidR="00BE54B7" w:rsidRPr="004A592F">
        <w:t xml:space="preserve"> </w:t>
      </w:r>
      <w:proofErr w:type="spellStart"/>
      <w:r w:rsidR="00BE54B7" w:rsidRPr="004A592F">
        <w:t>protection</w:t>
      </w:r>
      <w:proofErr w:type="spellEnd"/>
      <w:r w:rsidR="00BE54B7" w:rsidRPr="004A592F">
        <w:t xml:space="preserve"> of a </w:t>
      </w:r>
      <w:proofErr w:type="spellStart"/>
      <w:r w:rsidR="00BE54B7" w:rsidRPr="004A592F">
        <w:t>building</w:t>
      </w:r>
      <w:proofErr w:type="spellEnd"/>
      <w:r w:rsidR="00BE54B7" w:rsidRPr="004A592F">
        <w:t xml:space="preserve"> of </w:t>
      </w:r>
      <w:proofErr w:type="spellStart"/>
      <w:r w:rsidR="00BE54B7" w:rsidRPr="004A592F">
        <w:t>Levels</w:t>
      </w:r>
      <w:proofErr w:type="spellEnd"/>
      <w:r w:rsidR="00BE54B7" w:rsidRPr="004A592F">
        <w:t xml:space="preserve"> I, II and III by a </w:t>
      </w:r>
      <w:proofErr w:type="spellStart"/>
      <w:r w:rsidR="00BE54B7" w:rsidRPr="004A592F">
        <w:t>heat</w:t>
      </w:r>
      <w:proofErr w:type="spellEnd"/>
      <w:r w:rsidR="00BE54B7" w:rsidRPr="004A592F">
        <w:t xml:space="preserve"> pump </w:t>
      </w:r>
      <w:proofErr w:type="spellStart"/>
      <w:r w:rsidR="00BE54B7" w:rsidRPr="004A592F">
        <w:t>during</w:t>
      </w:r>
      <w:proofErr w:type="spellEnd"/>
      <w:r w:rsidR="00BE54B7" w:rsidRPr="004A592F">
        <w:t xml:space="preserve"> the heating </w:t>
      </w:r>
      <w:proofErr w:type="spellStart"/>
      <w:r w:rsidR="00BE54B7" w:rsidRPr="004A592F">
        <w:t>season</w:t>
      </w:r>
      <w:proofErr w:type="spellEnd"/>
    </w:p>
    <w:p w14:paraId="6A3029BF" w14:textId="77777777" w:rsidR="00154B44" w:rsidRDefault="00154B44" w:rsidP="00893A07">
      <w:pPr>
        <w:spacing w:after="0" w:line="240" w:lineRule="auto"/>
        <w:ind w:firstLine="284"/>
        <w:jc w:val="both"/>
        <w:rPr>
          <w:rFonts w:ascii="Times New Roman" w:hAnsi="Times New Roman"/>
          <w:lang w:val="en-US"/>
        </w:rPr>
      </w:pPr>
    </w:p>
    <w:p w14:paraId="7C1360F3" w14:textId="77777777" w:rsidR="001532A7" w:rsidRPr="004A592F" w:rsidRDefault="001532A7" w:rsidP="00893A07">
      <w:pPr>
        <w:spacing w:after="0" w:line="240" w:lineRule="auto"/>
        <w:ind w:firstLine="284"/>
        <w:jc w:val="both"/>
        <w:rPr>
          <w:rFonts w:ascii="Times New Roman" w:hAnsi="Times New Roman"/>
          <w:lang w:val="en-US"/>
        </w:rPr>
      </w:pPr>
    </w:p>
    <w:p w14:paraId="5C80B604" w14:textId="77777777" w:rsidR="00893A07" w:rsidRPr="004A592F" w:rsidRDefault="00893A07" w:rsidP="00893A07">
      <w:pPr>
        <w:spacing w:after="0" w:line="240" w:lineRule="auto"/>
        <w:jc w:val="center"/>
        <w:rPr>
          <w:rFonts w:ascii="Times New Roman" w:eastAsia="Times New Roman" w:hAnsi="Times New Roman"/>
          <w:b/>
          <w:bCs/>
          <w:iCs/>
          <w:lang w:val="en-US" w:eastAsia="ru-RU"/>
        </w:rPr>
      </w:pPr>
      <w:r w:rsidRPr="004A592F">
        <w:rPr>
          <w:rFonts w:ascii="Times New Roman" w:hAnsi="Times New Roman"/>
          <w:noProof/>
          <w:lang w:val="ru-RU" w:eastAsia="ru-RU"/>
        </w:rPr>
        <w:drawing>
          <wp:inline distT="0" distB="0" distL="0" distR="0" wp14:anchorId="6D407475" wp14:editId="1DD68066">
            <wp:extent cx="5760720" cy="272796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D39F61" w14:textId="62774C00" w:rsidR="00893A07" w:rsidRPr="004A592F" w:rsidRDefault="0060345E" w:rsidP="00154B44">
      <w:pPr>
        <w:pStyle w:val="Rrys"/>
        <w:rPr>
          <w:lang w:eastAsia="ru-RU"/>
        </w:rPr>
      </w:pPr>
      <w:r w:rsidRPr="004A592F">
        <w:rPr>
          <w:b/>
          <w:lang w:eastAsia="ru-RU"/>
        </w:rPr>
        <w:t>Fig</w:t>
      </w:r>
      <w:r w:rsidR="00154B44">
        <w:rPr>
          <w:b/>
          <w:lang w:eastAsia="ru-RU"/>
        </w:rPr>
        <w:t>.</w:t>
      </w:r>
      <w:r w:rsidRPr="004A592F">
        <w:rPr>
          <w:b/>
          <w:lang w:eastAsia="ru-RU"/>
        </w:rPr>
        <w:t xml:space="preserve"> </w:t>
      </w:r>
      <w:r w:rsidR="00893A07" w:rsidRPr="004A592F">
        <w:rPr>
          <w:b/>
          <w:lang w:eastAsia="ru-RU"/>
        </w:rPr>
        <w:t xml:space="preserve">3. </w:t>
      </w:r>
      <w:r w:rsidR="00BE54B7" w:rsidRPr="004A592F">
        <w:rPr>
          <w:lang w:eastAsia="ru-RU"/>
        </w:rPr>
        <w:t xml:space="preserve">Volume of </w:t>
      </w:r>
      <w:proofErr w:type="spellStart"/>
      <w:r w:rsidR="00BE54B7" w:rsidRPr="004A592F">
        <w:rPr>
          <w:lang w:eastAsia="ru-RU"/>
        </w:rPr>
        <w:t>carbon</w:t>
      </w:r>
      <w:proofErr w:type="spellEnd"/>
      <w:r w:rsidR="00BE54B7" w:rsidRPr="004A592F">
        <w:rPr>
          <w:lang w:eastAsia="ru-RU"/>
        </w:rPr>
        <w:t xml:space="preserve"> </w:t>
      </w:r>
      <w:proofErr w:type="spellStart"/>
      <w:r w:rsidR="00BE54B7" w:rsidRPr="004A592F">
        <w:rPr>
          <w:lang w:eastAsia="ru-RU"/>
        </w:rPr>
        <w:t>dioxide</w:t>
      </w:r>
      <w:proofErr w:type="spellEnd"/>
      <w:r w:rsidR="00BE54B7" w:rsidRPr="004A592F">
        <w:rPr>
          <w:lang w:eastAsia="ru-RU"/>
        </w:rPr>
        <w:t xml:space="preserve"> </w:t>
      </w:r>
      <w:proofErr w:type="spellStart"/>
      <w:r w:rsidR="00BE54B7" w:rsidRPr="004A592F">
        <w:rPr>
          <w:lang w:eastAsia="ru-RU"/>
        </w:rPr>
        <w:t>emissions</w:t>
      </w:r>
      <w:proofErr w:type="spellEnd"/>
      <w:r w:rsidR="00BE54B7" w:rsidRPr="004A592F">
        <w:rPr>
          <w:lang w:eastAsia="ru-RU"/>
        </w:rPr>
        <w:t xml:space="preserve"> for the </w:t>
      </w:r>
      <w:proofErr w:type="spellStart"/>
      <w:r w:rsidR="00BE54B7" w:rsidRPr="004A592F">
        <w:rPr>
          <w:lang w:eastAsia="ru-RU"/>
        </w:rPr>
        <w:t>building</w:t>
      </w:r>
      <w:proofErr w:type="spellEnd"/>
      <w:r w:rsidR="00BE54B7" w:rsidRPr="004A592F">
        <w:rPr>
          <w:lang w:eastAsia="ru-RU"/>
        </w:rPr>
        <w:t xml:space="preserve"> </w:t>
      </w:r>
      <w:proofErr w:type="spellStart"/>
      <w:r w:rsidR="00BE54B7" w:rsidRPr="004A592F">
        <w:rPr>
          <w:lang w:eastAsia="ru-RU"/>
        </w:rPr>
        <w:t>moderni</w:t>
      </w:r>
      <w:r w:rsidR="004D5C85">
        <w:rPr>
          <w:lang w:eastAsia="ru-RU"/>
        </w:rPr>
        <w:t>s</w:t>
      </w:r>
      <w:r w:rsidR="00BE54B7" w:rsidRPr="004A592F">
        <w:rPr>
          <w:lang w:eastAsia="ru-RU"/>
        </w:rPr>
        <w:t>ation</w:t>
      </w:r>
      <w:proofErr w:type="spellEnd"/>
      <w:r w:rsidR="00BE54B7" w:rsidRPr="004A592F">
        <w:rPr>
          <w:lang w:eastAsia="ru-RU"/>
        </w:rPr>
        <w:t xml:space="preserve"> </w:t>
      </w:r>
      <w:proofErr w:type="spellStart"/>
      <w:r w:rsidR="00BE54B7" w:rsidRPr="004A592F">
        <w:rPr>
          <w:lang w:eastAsia="ru-RU"/>
        </w:rPr>
        <w:t>options</w:t>
      </w:r>
      <w:proofErr w:type="spellEnd"/>
      <w:r w:rsidR="00BE54B7" w:rsidRPr="004A592F">
        <w:rPr>
          <w:lang w:eastAsia="ru-RU"/>
        </w:rPr>
        <w:t xml:space="preserve"> </w:t>
      </w:r>
      <w:proofErr w:type="spellStart"/>
      <w:r w:rsidR="00BE54B7" w:rsidRPr="004A592F">
        <w:rPr>
          <w:lang w:eastAsia="ru-RU"/>
        </w:rPr>
        <w:t>under</w:t>
      </w:r>
      <w:proofErr w:type="spellEnd"/>
      <w:r w:rsidR="00BE54B7" w:rsidRPr="004A592F">
        <w:rPr>
          <w:lang w:eastAsia="ru-RU"/>
        </w:rPr>
        <w:t xml:space="preserve"> </w:t>
      </w:r>
      <w:proofErr w:type="spellStart"/>
      <w:r w:rsidR="00BE54B7" w:rsidRPr="004A592F">
        <w:rPr>
          <w:lang w:eastAsia="ru-RU"/>
        </w:rPr>
        <w:t>consideration</w:t>
      </w:r>
      <w:proofErr w:type="spellEnd"/>
    </w:p>
    <w:p w14:paraId="6196239A" w14:textId="77777777" w:rsidR="00893A07" w:rsidRPr="004A592F" w:rsidRDefault="00893A07" w:rsidP="00154B44">
      <w:pPr>
        <w:spacing w:after="0" w:line="240" w:lineRule="auto"/>
        <w:jc w:val="both"/>
        <w:rPr>
          <w:rFonts w:ascii="Times New Roman" w:eastAsia="Times New Roman" w:hAnsi="Times New Roman"/>
          <w:bCs/>
          <w:iCs/>
          <w:lang w:val="en-US" w:eastAsia="ru-RU"/>
        </w:rPr>
      </w:pPr>
    </w:p>
    <w:p w14:paraId="57E0C334" w14:textId="242102EF" w:rsidR="00893A07" w:rsidRPr="004A592F" w:rsidRDefault="00BE54B7" w:rsidP="00893A07">
      <w:pPr>
        <w:spacing w:after="0" w:line="240" w:lineRule="auto"/>
        <w:ind w:firstLine="284"/>
        <w:jc w:val="both"/>
        <w:rPr>
          <w:rFonts w:ascii="Times New Roman" w:hAnsi="Times New Roman"/>
          <w:lang w:val="en-US"/>
        </w:rPr>
      </w:pPr>
      <w:r w:rsidRPr="004A592F">
        <w:rPr>
          <w:rFonts w:ascii="Times New Roman" w:hAnsi="Times New Roman"/>
          <w:lang w:val="en-US"/>
        </w:rPr>
        <w:t xml:space="preserve">According to the data presented in Figure 3, it is </w:t>
      </w:r>
      <w:r w:rsidR="004D5C85">
        <w:rPr>
          <w:rFonts w:ascii="Times New Roman" w:hAnsi="Times New Roman"/>
          <w:lang w:val="en-US"/>
        </w:rPr>
        <w:t>evident</w:t>
      </w:r>
      <w:r w:rsidRPr="004A592F">
        <w:rPr>
          <w:rFonts w:ascii="Times New Roman" w:hAnsi="Times New Roman"/>
          <w:lang w:val="en-US"/>
        </w:rPr>
        <w:t xml:space="preserve"> that carbon dioxide emissions at each level of thermal protection of a building (I, II, III) are approximately </w:t>
      </w:r>
      <w:r w:rsidR="004D5C85" w:rsidRPr="004A592F">
        <w:rPr>
          <w:rFonts w:ascii="Times New Roman" w:hAnsi="Times New Roman"/>
          <w:lang w:val="en-US"/>
        </w:rPr>
        <w:t xml:space="preserve">of </w:t>
      </w:r>
      <w:r w:rsidRPr="004A592F">
        <w:rPr>
          <w:rFonts w:ascii="Times New Roman" w:hAnsi="Times New Roman"/>
          <w:lang w:val="en-US"/>
        </w:rPr>
        <w:t>the same order</w:t>
      </w:r>
      <w:r w:rsidR="004D5C85">
        <w:rPr>
          <w:rFonts w:ascii="Times New Roman" w:hAnsi="Times New Roman"/>
          <w:lang w:val="en-US"/>
        </w:rPr>
        <w:t>. Still,</w:t>
      </w:r>
      <w:r w:rsidRPr="004A592F">
        <w:rPr>
          <w:rFonts w:ascii="Times New Roman" w:hAnsi="Times New Roman"/>
          <w:lang w:val="en-US"/>
        </w:rPr>
        <w:t xml:space="preserve"> the use of sunflower husk for heat supply is the most environmentally attractive. </w:t>
      </w:r>
      <w:r w:rsidR="004D5C85">
        <w:rPr>
          <w:rFonts w:ascii="Times New Roman" w:hAnsi="Times New Roman"/>
          <w:lang w:val="en-US"/>
        </w:rPr>
        <w:t>It</w:t>
      </w:r>
      <w:r w:rsidRPr="004A592F">
        <w:rPr>
          <w:rFonts w:ascii="Times New Roman" w:hAnsi="Times New Roman"/>
          <w:lang w:val="en-US"/>
        </w:rPr>
        <w:t xml:space="preserve"> is explained, in particular, by the type of fuel used by thermal power plants in Ukraine to generate energy. Most thermal power plants in Ukraine are coal-fired, and in Kyiv, in particular, lignite is used to generate energy at thermal power plants, the level of emissions during combustion of which is </w:t>
      </w:r>
      <w:r w:rsidR="004D5C85">
        <w:rPr>
          <w:rFonts w:ascii="Times New Roman" w:hAnsi="Times New Roman"/>
          <w:lang w:val="en-US"/>
        </w:rPr>
        <w:t>relatively</w:t>
      </w:r>
      <w:r w:rsidRPr="004A592F">
        <w:rPr>
          <w:rFonts w:ascii="Times New Roman" w:hAnsi="Times New Roman"/>
          <w:lang w:val="en-US"/>
        </w:rPr>
        <w:t xml:space="preserve"> high.</w:t>
      </w:r>
    </w:p>
    <w:p w14:paraId="64AD902F" w14:textId="167E88FD" w:rsidR="00893A07" w:rsidRPr="004A592F" w:rsidRDefault="00BE54B7" w:rsidP="00893A07">
      <w:pPr>
        <w:spacing w:after="0" w:line="240" w:lineRule="auto"/>
        <w:ind w:firstLine="284"/>
        <w:jc w:val="both"/>
        <w:rPr>
          <w:rFonts w:ascii="Times New Roman" w:hAnsi="Times New Roman"/>
          <w:lang w:val="en-US"/>
        </w:rPr>
      </w:pPr>
      <w:r w:rsidRPr="004A592F">
        <w:rPr>
          <w:rFonts w:ascii="Times New Roman" w:hAnsi="Times New Roman"/>
          <w:lang w:val="en-US"/>
        </w:rPr>
        <w:lastRenderedPageBreak/>
        <w:t>The integrated costs of heating the building have been estimated taking into account the fuel consumption during the heating period, the efficiency of the selected boilers and heat pump (according to the passport data of the equipment manufacturer), the cost of the fuel storage facility (pellets), the boiler itself, and the required flue gas cleaning system.</w:t>
      </w:r>
      <w:r w:rsidR="00893A07" w:rsidRPr="004A592F">
        <w:rPr>
          <w:rFonts w:ascii="Times New Roman" w:hAnsi="Times New Roman"/>
          <w:lang w:val="en-US"/>
        </w:rPr>
        <w:t xml:space="preserve"> </w:t>
      </w:r>
      <w:r w:rsidRPr="004A592F">
        <w:rPr>
          <w:rFonts w:ascii="Times New Roman" w:hAnsi="Times New Roman"/>
          <w:lang w:val="en-US"/>
        </w:rPr>
        <w:t>The calculations of the integrated cost were made according to the tariffs for natural gas and sunflower husk pellets in force in Ukraine in 2022; in the first approximation, the impact of the discount rate and the increase in energy prices are not considered</w:t>
      </w:r>
      <w:r w:rsidR="00893A07" w:rsidRPr="004A592F">
        <w:rPr>
          <w:rFonts w:ascii="Times New Roman" w:hAnsi="Times New Roman"/>
          <w:lang w:val="en-US"/>
        </w:rPr>
        <w:t xml:space="preserve"> (E = 0%, l</w:t>
      </w:r>
      <w:r w:rsidR="00893A07" w:rsidRPr="004A592F">
        <w:rPr>
          <w:rFonts w:ascii="Times New Roman" w:hAnsi="Times New Roman"/>
          <w:vertAlign w:val="subscript"/>
          <w:lang w:val="en-US"/>
        </w:rPr>
        <w:t>1</w:t>
      </w:r>
      <w:r w:rsidR="0066575F">
        <w:rPr>
          <w:rFonts w:ascii="Times New Roman" w:hAnsi="Times New Roman"/>
          <w:vertAlign w:val="subscript"/>
          <w:lang w:val="en-US"/>
        </w:rPr>
        <w:t>-</w:t>
      </w:r>
      <w:r w:rsidR="00893A07" w:rsidRPr="004A592F">
        <w:rPr>
          <w:rFonts w:ascii="Times New Roman" w:hAnsi="Times New Roman"/>
          <w:vertAlign w:val="subscript"/>
          <w:lang w:val="en-US"/>
        </w:rPr>
        <w:t>3</w:t>
      </w:r>
      <w:r w:rsidR="00893A07" w:rsidRPr="003C0556">
        <w:rPr>
          <w:rFonts w:ascii="Times New Roman" w:hAnsi="Times New Roman"/>
          <w:lang w:val="en-US"/>
        </w:rPr>
        <w:t xml:space="preserve"> </w:t>
      </w:r>
      <w:r w:rsidR="00893A07" w:rsidRPr="004A592F">
        <w:rPr>
          <w:rFonts w:ascii="Times New Roman" w:hAnsi="Times New Roman"/>
          <w:lang w:val="en-US"/>
        </w:rPr>
        <w:t xml:space="preserve">= 0%). </w:t>
      </w:r>
      <w:r w:rsidRPr="004A592F">
        <w:rPr>
          <w:rFonts w:ascii="Times New Roman" w:hAnsi="Times New Roman"/>
          <w:lang w:val="en-US"/>
        </w:rPr>
        <w:t>The change in the integral cost of heating costs over time was calculated using Formula 1:</w:t>
      </w:r>
    </w:p>
    <w:p w14:paraId="2E9EBB78" w14:textId="77777777" w:rsidR="001F5676" w:rsidRPr="004A592F" w:rsidRDefault="001F5676" w:rsidP="001F5676">
      <w:pPr>
        <w:tabs>
          <w:tab w:val="right" w:pos="9638"/>
        </w:tabs>
        <w:spacing w:before="120" w:after="120" w:line="240" w:lineRule="auto"/>
        <w:ind w:left="2410"/>
        <w:rPr>
          <w:rFonts w:ascii="Times New Roman" w:eastAsia="Times New Roman" w:hAnsi="Times New Roman"/>
          <w:lang w:val="en-US"/>
        </w:rPr>
      </w:pPr>
      <m:oMath>
        <m:r>
          <w:rPr>
            <w:rFonts w:ascii="Cambria Math" w:hAnsi="Cambria Math"/>
            <w:lang w:val="en-US"/>
          </w:rPr>
          <m:t xml:space="preserve">B= </m:t>
        </m:r>
        <m:nary>
          <m:naryPr>
            <m:chr m:val="∑"/>
            <m:limLoc m:val="undOvr"/>
            <m:ctrlPr>
              <w:rPr>
                <w:rFonts w:ascii="Cambria Math" w:hAnsi="Cambria Math"/>
                <w:i/>
                <w:lang w:val="en-US"/>
              </w:rPr>
            </m:ctrlPr>
          </m:naryPr>
          <m:sub>
            <m:r>
              <w:rPr>
                <w:rFonts w:ascii="Cambria Math" w:hAnsi="Cambria Math"/>
                <w:lang w:val="en-US"/>
              </w:rPr>
              <m:t>t=0</m:t>
            </m:r>
          </m:sub>
          <m:sup>
            <m:r>
              <w:rPr>
                <w:rFonts w:ascii="Cambria Math" w:hAnsi="Cambria Math"/>
                <w:lang w:val="en-US"/>
              </w:rPr>
              <m:t>n</m:t>
            </m:r>
          </m:sup>
          <m:e>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t</m:t>
                    </m:r>
                  </m:sub>
                  <m:sup>
                    <m:r>
                      <w:rPr>
                        <w:rFonts w:ascii="Cambria Math" w:hAnsi="Cambria Math"/>
                        <w:lang w:val="en-US"/>
                      </w:rPr>
                      <m:t>oper</m:t>
                    </m:r>
                  </m:sup>
                </m:sSubSup>
              </m:num>
              <m:den>
                <m:sSup>
                  <m:sSupPr>
                    <m:ctrlPr>
                      <w:rPr>
                        <w:rFonts w:ascii="Cambria Math" w:hAnsi="Cambria Math"/>
                        <w:i/>
                        <w:lang w:val="en-US"/>
                      </w:rPr>
                    </m:ctrlPr>
                  </m:sSupPr>
                  <m:e>
                    <m:r>
                      <w:rPr>
                        <w:rFonts w:ascii="Cambria Math" w:hAnsi="Cambria Math"/>
                        <w:lang w:val="en-US"/>
                      </w:rPr>
                      <m:t>(1+Е)</m:t>
                    </m:r>
                  </m:e>
                  <m:sup>
                    <m:r>
                      <w:rPr>
                        <w:rFonts w:ascii="Cambria Math" w:hAnsi="Cambria Math"/>
                        <w:lang w:val="en-US"/>
                      </w:rPr>
                      <m:t>t</m:t>
                    </m:r>
                  </m:sup>
                </m:sSup>
              </m:den>
            </m:f>
            <m:r>
              <w:rPr>
                <w:rFonts w:ascii="Cambria Math" w:hAnsi="Cambria Math"/>
                <w:lang w:val="en-US"/>
              </w:rPr>
              <m:t>+</m:t>
            </m:r>
          </m:e>
        </m:nary>
        <m:nary>
          <m:naryPr>
            <m:chr m:val="∑"/>
            <m:limLoc m:val="undOvr"/>
            <m:ctrlPr>
              <w:rPr>
                <w:rFonts w:ascii="Cambria Math" w:hAnsi="Cambria Math"/>
                <w:i/>
                <w:lang w:val="en-US"/>
              </w:rPr>
            </m:ctrlPr>
          </m:naryPr>
          <m:sub>
            <m:r>
              <w:rPr>
                <w:rFonts w:ascii="Cambria Math" w:hAnsi="Cambria Math"/>
                <w:lang w:val="en-US"/>
              </w:rPr>
              <m:t>t=0</m:t>
            </m:r>
          </m:sub>
          <m:sup>
            <m:r>
              <w:rPr>
                <w:rFonts w:ascii="Cambria Math" w:hAnsi="Cambria Math"/>
                <w:lang w:val="en-US"/>
              </w:rPr>
              <m:t>n</m:t>
            </m:r>
          </m:sup>
          <m:e>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t</m:t>
                </m:r>
              </m:sub>
              <m:sup>
                <m:r>
                  <w:rPr>
                    <w:rFonts w:ascii="Cambria Math" w:hAnsi="Cambria Math"/>
                    <w:lang w:val="en-US"/>
                  </w:rPr>
                  <m:t>energy</m:t>
                </m:r>
              </m:sup>
            </m:sSubSup>
            <m:r>
              <w:rPr>
                <w:rFonts w:ascii="Cambria Math" w:hAnsi="Cambria Math"/>
                <w:lang w:val="en-US"/>
              </w:rPr>
              <m:t>∙</m:t>
            </m:r>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1+l∙t</m:t>
                    </m:r>
                  </m:e>
                </m:d>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1+Е</m:t>
                        </m:r>
                      </m:e>
                    </m:d>
                  </m:e>
                  <m:sup>
                    <m:r>
                      <w:rPr>
                        <w:rFonts w:ascii="Cambria Math" w:hAnsi="Cambria Math"/>
                        <w:lang w:val="en-US"/>
                      </w:rPr>
                      <m:t>t</m:t>
                    </m:r>
                  </m:sup>
                </m:sSup>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ep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thp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hd</m:t>
                </m:r>
              </m:sub>
            </m:sSub>
          </m:e>
        </m:nary>
      </m:oMath>
      <w:r w:rsidRPr="004A592F">
        <w:rPr>
          <w:rFonts w:ascii="Times New Roman" w:eastAsia="Times New Roman" w:hAnsi="Times New Roman"/>
          <w:lang w:val="en-US"/>
        </w:rPr>
        <w:tab/>
        <w:t>(1)</w:t>
      </w:r>
    </w:p>
    <w:p w14:paraId="65F51899" w14:textId="77777777" w:rsidR="001F5676" w:rsidRDefault="00BE54B7" w:rsidP="00154B44">
      <w:pPr>
        <w:spacing w:after="0" w:line="240" w:lineRule="auto"/>
        <w:jc w:val="both"/>
        <w:rPr>
          <w:rFonts w:ascii="Times New Roman" w:hAnsi="Times New Roman"/>
          <w:lang w:val="en-US"/>
        </w:rPr>
      </w:pPr>
      <w:r w:rsidRPr="004A592F">
        <w:rPr>
          <w:rFonts w:ascii="Times New Roman" w:hAnsi="Times New Roman"/>
          <w:lang w:val="en-US"/>
        </w:rPr>
        <w:t>where</w:t>
      </w:r>
      <w:r w:rsidR="001F5676">
        <w:rPr>
          <w:rFonts w:ascii="Times New Roman" w:hAnsi="Times New Roman"/>
          <w:lang w:val="en-US"/>
        </w:rPr>
        <w:t>:</w:t>
      </w:r>
    </w:p>
    <w:p w14:paraId="092C9815" w14:textId="639347F5" w:rsidR="00893A07" w:rsidRPr="004A592F" w:rsidRDefault="00000000" w:rsidP="00154B44">
      <w:pPr>
        <w:spacing w:after="0" w:line="240" w:lineRule="auto"/>
        <w:jc w:val="both"/>
        <w:rPr>
          <w:rFonts w:ascii="Times New Roman" w:hAnsi="Times New Roman"/>
          <w:lang w:val="en-US"/>
        </w:rPr>
      </w:pPr>
      <m:oMath>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t</m:t>
            </m:r>
          </m:sub>
          <m:sup>
            <m:r>
              <w:rPr>
                <w:rFonts w:ascii="Cambria Math" w:hAnsi="Cambria Math"/>
                <w:lang w:val="en-US"/>
              </w:rPr>
              <m:t>energy</m:t>
            </m:r>
          </m:sup>
        </m:sSubSup>
      </m:oMath>
      <w:r w:rsidR="00CE1301">
        <w:rPr>
          <w:rFonts w:ascii="Times New Roman" w:hAnsi="Times New Roman"/>
          <w:lang w:val="en-US"/>
        </w:rPr>
        <w:t xml:space="preserve"> </w:t>
      </w:r>
      <w:r w:rsidR="00893A07" w:rsidRPr="004A592F">
        <w:rPr>
          <w:rFonts w:ascii="Times New Roman" w:hAnsi="Times New Roman"/>
          <w:lang w:val="en-US"/>
        </w:rPr>
        <w:t xml:space="preserve">– </w:t>
      </w:r>
      <w:r w:rsidR="00BE54B7" w:rsidRPr="004A592F">
        <w:rPr>
          <w:rFonts w:ascii="Times New Roman" w:hAnsi="Times New Roman"/>
          <w:lang w:val="en-US"/>
        </w:rPr>
        <w:t>annual cost of energy consumption (EUR)</w:t>
      </w:r>
      <w:r w:rsidR="0066575F">
        <w:rPr>
          <w:rFonts w:ascii="Times New Roman" w:hAnsi="Times New Roman"/>
          <w:lang w:val="en-US"/>
        </w:rPr>
        <w:t>,</w:t>
      </w:r>
    </w:p>
    <w:p w14:paraId="0ED31F7F" w14:textId="5A3AD38B" w:rsidR="00893A07" w:rsidRPr="004A592F" w:rsidRDefault="00000000" w:rsidP="00154B44">
      <w:pPr>
        <w:spacing w:after="0" w:line="240" w:lineRule="auto"/>
        <w:jc w:val="both"/>
        <w:rPr>
          <w:rFonts w:ascii="Times New Roman" w:hAnsi="Times New Roman"/>
          <w:lang w:val="en-US"/>
        </w:rPr>
      </w:pPr>
      <m:oMath>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t</m:t>
            </m:r>
          </m:sub>
          <m:sup>
            <m:r>
              <w:rPr>
                <w:rFonts w:ascii="Cambria Math" w:hAnsi="Cambria Math"/>
                <w:lang w:val="en-US"/>
              </w:rPr>
              <m:t>oper</m:t>
            </m:r>
          </m:sup>
        </m:sSubSup>
      </m:oMath>
      <w:r w:rsidR="001F5676">
        <w:rPr>
          <w:rFonts w:ascii="Times New Roman" w:hAnsi="Times New Roman"/>
          <w:lang w:val="en-US"/>
        </w:rPr>
        <w:t xml:space="preserve"> </w:t>
      </w:r>
      <w:r w:rsidR="00893A07" w:rsidRPr="004A592F">
        <w:rPr>
          <w:rFonts w:ascii="Times New Roman" w:hAnsi="Times New Roman"/>
          <w:lang w:val="en-US"/>
        </w:rPr>
        <w:t xml:space="preserve">– </w:t>
      </w:r>
      <w:r w:rsidR="00BE54B7" w:rsidRPr="004A592F">
        <w:rPr>
          <w:rFonts w:ascii="Times New Roman" w:hAnsi="Times New Roman"/>
          <w:lang w:val="en-US"/>
        </w:rPr>
        <w:t>other costs (EUR)</w:t>
      </w:r>
      <w:r w:rsidR="0066575F">
        <w:rPr>
          <w:rFonts w:ascii="Times New Roman" w:hAnsi="Times New Roman"/>
          <w:lang w:val="en-US"/>
        </w:rPr>
        <w:t>,</w:t>
      </w:r>
    </w:p>
    <w:p w14:paraId="546BF1A6" w14:textId="6E01D01C" w:rsidR="00893A07" w:rsidRPr="004A592F" w:rsidRDefault="00000000" w:rsidP="00154B44">
      <w:pPr>
        <w:spacing w:after="0" w:line="240" w:lineRule="auto"/>
        <w:jc w:val="both"/>
        <w:rPr>
          <w:rFonts w:ascii="Times New Roman" w:hAnsi="Times New Roman"/>
          <w:lang w:val="en-US"/>
        </w:rPr>
      </w:pP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ep</m:t>
            </m:r>
          </m:sub>
        </m:sSub>
      </m:oMath>
      <w:r w:rsidR="00893A07" w:rsidRPr="004A592F">
        <w:rPr>
          <w:rFonts w:ascii="Times New Roman" w:hAnsi="Times New Roman"/>
          <w:lang w:val="en-US"/>
        </w:rPr>
        <w:t xml:space="preserve"> – </w:t>
      </w:r>
      <w:r w:rsidR="00BE54B7" w:rsidRPr="004A592F">
        <w:rPr>
          <w:rFonts w:ascii="Times New Roman" w:hAnsi="Times New Roman"/>
          <w:lang w:val="en-US"/>
        </w:rPr>
        <w:t>investment expenditure for the purchase of heat</w:t>
      </w:r>
      <w:r w:rsidR="004D5C85">
        <w:rPr>
          <w:rFonts w:ascii="Times New Roman" w:hAnsi="Times New Roman"/>
          <w:lang w:val="en-US"/>
        </w:rPr>
        <w:t>-</w:t>
      </w:r>
      <w:r w:rsidR="00BE54B7" w:rsidRPr="004A592F">
        <w:rPr>
          <w:rFonts w:ascii="Times New Roman" w:hAnsi="Times New Roman"/>
          <w:lang w:val="en-US"/>
        </w:rPr>
        <w:t>generating equipment (EUR)</w:t>
      </w:r>
      <w:r w:rsidR="0066575F">
        <w:rPr>
          <w:rFonts w:ascii="Times New Roman" w:hAnsi="Times New Roman"/>
          <w:lang w:val="en-US"/>
        </w:rPr>
        <w:t>,</w:t>
      </w:r>
    </w:p>
    <w:p w14:paraId="4C225514" w14:textId="0795B3D4" w:rsidR="00893A07" w:rsidRPr="004A592F" w:rsidRDefault="00000000" w:rsidP="00154B44">
      <w:pPr>
        <w:spacing w:after="0" w:line="240" w:lineRule="auto"/>
        <w:jc w:val="both"/>
        <w:rPr>
          <w:rFonts w:ascii="Times New Roman" w:hAnsi="Times New Roman"/>
          <w:lang w:val="en-US"/>
        </w:rPr>
      </w:pP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thp</m:t>
            </m:r>
          </m:sub>
        </m:sSub>
      </m:oMath>
      <w:r w:rsidR="001F5676">
        <w:rPr>
          <w:rFonts w:ascii="Times New Roman" w:hAnsi="Times New Roman"/>
          <w:lang w:val="en-US"/>
        </w:rPr>
        <w:t xml:space="preserve"> </w:t>
      </w:r>
      <w:r w:rsidR="00893A07" w:rsidRPr="004A592F">
        <w:rPr>
          <w:rFonts w:ascii="Times New Roman" w:hAnsi="Times New Roman"/>
          <w:lang w:val="en-US"/>
        </w:rPr>
        <w:t xml:space="preserve">– </w:t>
      </w:r>
      <w:r w:rsidR="00B774D9" w:rsidRPr="004A592F">
        <w:rPr>
          <w:rFonts w:ascii="Times New Roman" w:hAnsi="Times New Roman"/>
          <w:lang w:val="en-US"/>
        </w:rPr>
        <w:t>expenditures aimed at improving the thermal protection of the building (EUR)</w:t>
      </w:r>
      <w:r w:rsidR="0066575F">
        <w:rPr>
          <w:rFonts w:ascii="Times New Roman" w:hAnsi="Times New Roman"/>
          <w:lang w:val="en-US"/>
        </w:rPr>
        <w:t>,</w:t>
      </w:r>
    </w:p>
    <w:p w14:paraId="5C26D00F" w14:textId="7C264789" w:rsidR="00893A07" w:rsidRPr="004A592F" w:rsidRDefault="00000000" w:rsidP="00154B44">
      <w:pPr>
        <w:spacing w:after="0" w:line="240" w:lineRule="auto"/>
        <w:jc w:val="both"/>
        <w:rPr>
          <w:rFonts w:ascii="Times New Roman" w:hAnsi="Times New Roman"/>
          <w:lang w:val="en-US"/>
        </w:rPr>
      </w:pP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hd</m:t>
            </m:r>
          </m:sub>
        </m:sSub>
      </m:oMath>
      <w:r w:rsidR="00CE1301">
        <w:rPr>
          <w:rFonts w:ascii="Times New Roman" w:hAnsi="Times New Roman"/>
          <w:lang w:val="en-US"/>
        </w:rPr>
        <w:t xml:space="preserve"> </w:t>
      </w:r>
      <w:r w:rsidR="00893A07" w:rsidRPr="004A592F">
        <w:rPr>
          <w:rFonts w:ascii="Times New Roman" w:hAnsi="Times New Roman"/>
          <w:lang w:val="en-US"/>
        </w:rPr>
        <w:t xml:space="preserve">– </w:t>
      </w:r>
      <w:r w:rsidR="00B774D9" w:rsidRPr="004A592F">
        <w:rPr>
          <w:rFonts w:ascii="Times New Roman" w:hAnsi="Times New Roman"/>
          <w:lang w:val="en-US"/>
        </w:rPr>
        <w:t>expenditures for the purchase of heating devices (EUR)</w:t>
      </w:r>
      <w:r w:rsidR="0066575F">
        <w:rPr>
          <w:rFonts w:ascii="Times New Roman" w:hAnsi="Times New Roman"/>
          <w:lang w:val="en-US"/>
        </w:rPr>
        <w:t>,</w:t>
      </w:r>
    </w:p>
    <w:p w14:paraId="5808A996" w14:textId="7E2304C4" w:rsidR="00893A07" w:rsidRPr="004A592F" w:rsidRDefault="00893A07" w:rsidP="00154B44">
      <w:pPr>
        <w:spacing w:after="0" w:line="240" w:lineRule="auto"/>
        <w:jc w:val="both"/>
        <w:rPr>
          <w:rFonts w:ascii="Times New Roman" w:hAnsi="Times New Roman"/>
          <w:lang w:val="en-US"/>
        </w:rPr>
      </w:pPr>
      <w:r w:rsidRPr="004A592F">
        <w:rPr>
          <w:rFonts w:ascii="Times New Roman" w:hAnsi="Times New Roman"/>
          <w:i/>
          <w:lang w:val="en-US"/>
        </w:rPr>
        <w:t>l</w:t>
      </w:r>
      <w:r w:rsidRPr="004A592F">
        <w:rPr>
          <w:rFonts w:ascii="Times New Roman" w:hAnsi="Times New Roman"/>
          <w:lang w:val="en-US"/>
        </w:rPr>
        <w:t xml:space="preserve"> –</w:t>
      </w:r>
      <w:r w:rsidR="00B774D9" w:rsidRPr="004A592F">
        <w:rPr>
          <w:rFonts w:ascii="Times New Roman" w:hAnsi="Times New Roman"/>
          <w:lang w:val="en-US"/>
        </w:rPr>
        <w:t xml:space="preserve"> coefficient that takes into account the increase in energy prices</w:t>
      </w:r>
      <w:r w:rsidR="0066575F">
        <w:rPr>
          <w:rFonts w:ascii="Times New Roman" w:hAnsi="Times New Roman"/>
          <w:lang w:val="en-US"/>
        </w:rPr>
        <w:t>,</w:t>
      </w:r>
    </w:p>
    <w:p w14:paraId="5F5ECD09" w14:textId="07E6A370" w:rsidR="00893A07" w:rsidRPr="004A592F" w:rsidRDefault="00893A07" w:rsidP="00154B44">
      <w:pPr>
        <w:spacing w:after="0" w:line="240" w:lineRule="auto"/>
        <w:jc w:val="both"/>
        <w:rPr>
          <w:rFonts w:ascii="Times New Roman" w:hAnsi="Times New Roman"/>
          <w:lang w:val="en-US"/>
        </w:rPr>
      </w:pPr>
      <w:r w:rsidRPr="004A592F">
        <w:rPr>
          <w:rFonts w:ascii="Times New Roman" w:hAnsi="Times New Roman"/>
          <w:i/>
          <w:lang w:val="en-US"/>
        </w:rPr>
        <w:t>n</w:t>
      </w:r>
      <w:r w:rsidRPr="004A592F">
        <w:rPr>
          <w:rFonts w:ascii="Times New Roman" w:hAnsi="Times New Roman"/>
          <w:lang w:val="en-US"/>
        </w:rPr>
        <w:t xml:space="preserve"> – </w:t>
      </w:r>
      <w:r w:rsidR="00B774D9" w:rsidRPr="004A592F">
        <w:rPr>
          <w:rFonts w:ascii="Times New Roman" w:hAnsi="Times New Roman"/>
          <w:lang w:val="en-US"/>
        </w:rPr>
        <w:t>the time for which the integrated discounted costs are determined (years)</w:t>
      </w:r>
      <w:r w:rsidR="0066575F">
        <w:rPr>
          <w:rFonts w:ascii="Times New Roman" w:hAnsi="Times New Roman"/>
          <w:lang w:val="en-US"/>
        </w:rPr>
        <w:t>,</w:t>
      </w:r>
    </w:p>
    <w:p w14:paraId="52ECC18A" w14:textId="3618AA2C" w:rsidR="00893A07" w:rsidRPr="004A592F" w:rsidRDefault="00893A07" w:rsidP="00154B44">
      <w:pPr>
        <w:spacing w:after="0" w:line="240" w:lineRule="auto"/>
        <w:jc w:val="both"/>
        <w:rPr>
          <w:rFonts w:ascii="Times New Roman" w:hAnsi="Times New Roman"/>
          <w:lang w:val="en-US"/>
        </w:rPr>
      </w:pPr>
      <w:r w:rsidRPr="004A592F">
        <w:rPr>
          <w:rFonts w:ascii="Times New Roman" w:hAnsi="Times New Roman"/>
          <w:i/>
          <w:lang w:val="en-US"/>
        </w:rPr>
        <w:t>E</w:t>
      </w:r>
      <w:r w:rsidRPr="004A592F">
        <w:rPr>
          <w:rFonts w:ascii="Times New Roman" w:hAnsi="Times New Roman"/>
          <w:lang w:val="en-US"/>
        </w:rPr>
        <w:t xml:space="preserve"> – </w:t>
      </w:r>
      <w:r w:rsidR="00B774D9" w:rsidRPr="004A592F">
        <w:rPr>
          <w:rFonts w:ascii="Times New Roman" w:hAnsi="Times New Roman"/>
          <w:lang w:val="en-US"/>
        </w:rPr>
        <w:t>discount rate</w:t>
      </w:r>
      <w:r w:rsidRPr="004A592F">
        <w:rPr>
          <w:rFonts w:ascii="Times New Roman" w:hAnsi="Times New Roman"/>
          <w:lang w:val="en-US"/>
        </w:rPr>
        <w:t>.</w:t>
      </w:r>
    </w:p>
    <w:p w14:paraId="7957F702" w14:textId="77777777" w:rsidR="001F5676" w:rsidRDefault="001F5676" w:rsidP="00154B44">
      <w:pPr>
        <w:spacing w:after="0" w:line="240" w:lineRule="auto"/>
        <w:jc w:val="both"/>
        <w:rPr>
          <w:rFonts w:ascii="Times New Roman" w:hAnsi="Times New Roman"/>
          <w:lang w:val="en-US"/>
        </w:rPr>
      </w:pPr>
    </w:p>
    <w:p w14:paraId="5FC99ADB" w14:textId="0BC0AA75" w:rsidR="00893A07" w:rsidRPr="004A592F" w:rsidRDefault="00B774D9" w:rsidP="00893A07">
      <w:pPr>
        <w:spacing w:after="0" w:line="240" w:lineRule="auto"/>
        <w:ind w:firstLine="284"/>
        <w:jc w:val="both"/>
        <w:rPr>
          <w:rFonts w:ascii="Times New Roman" w:hAnsi="Times New Roman"/>
          <w:lang w:val="en-US"/>
        </w:rPr>
      </w:pPr>
      <w:r w:rsidRPr="004A592F">
        <w:rPr>
          <w:rFonts w:ascii="Times New Roman" w:hAnsi="Times New Roman"/>
          <w:lang w:val="en-US"/>
        </w:rPr>
        <w:t>The results of the calculated parameters of the formula for integrated heating costs are shown in Table 3.</w:t>
      </w:r>
      <w:r w:rsidR="00893A07" w:rsidRPr="004A592F">
        <w:rPr>
          <w:rFonts w:ascii="Times New Roman" w:hAnsi="Times New Roman"/>
          <w:lang w:val="en-US"/>
        </w:rPr>
        <w:t xml:space="preserve"> </w:t>
      </w:r>
    </w:p>
    <w:p w14:paraId="50D54158" w14:textId="4E22EC34" w:rsidR="008900FC" w:rsidRDefault="008900FC" w:rsidP="008900FC">
      <w:pPr>
        <w:spacing w:after="0" w:line="240" w:lineRule="auto"/>
        <w:ind w:firstLine="284"/>
        <w:jc w:val="both"/>
        <w:rPr>
          <w:rFonts w:ascii="Times New Roman" w:hAnsi="Times New Roman"/>
          <w:lang w:val="en-US"/>
        </w:rPr>
      </w:pPr>
      <w:r w:rsidRPr="004A592F">
        <w:rPr>
          <w:rFonts w:ascii="Times New Roman" w:hAnsi="Times New Roman"/>
          <w:lang w:val="en-US"/>
        </w:rPr>
        <w:t xml:space="preserve">To assess the cost-effectiveness of a building's </w:t>
      </w:r>
      <w:proofErr w:type="spellStart"/>
      <w:r w:rsidRPr="004A592F">
        <w:rPr>
          <w:rFonts w:ascii="Times New Roman" w:hAnsi="Times New Roman"/>
          <w:lang w:val="en-US"/>
        </w:rPr>
        <w:t>moderni</w:t>
      </w:r>
      <w:r w:rsidR="004D5C85">
        <w:rPr>
          <w:rFonts w:ascii="Times New Roman" w:hAnsi="Times New Roman"/>
          <w:lang w:val="en-US"/>
        </w:rPr>
        <w:t>s</w:t>
      </w:r>
      <w:r w:rsidRPr="004A592F">
        <w:rPr>
          <w:rFonts w:ascii="Times New Roman" w:hAnsi="Times New Roman"/>
          <w:lang w:val="en-US"/>
        </w:rPr>
        <w:t>ation</w:t>
      </w:r>
      <w:proofErr w:type="spellEnd"/>
      <w:r w:rsidRPr="004A592F">
        <w:rPr>
          <w:rFonts w:ascii="Times New Roman" w:hAnsi="Times New Roman"/>
          <w:lang w:val="en-US"/>
        </w:rPr>
        <w:t xml:space="preserve">, you can use, among other things, the method of economic calculation of heating systems established by the EN 15459-1:2017 standard. The standard defines the alignment of the energy needs of a building and the energy efficiency of its heating systems. </w:t>
      </w:r>
      <w:r w:rsidR="00DB374A">
        <w:rPr>
          <w:rFonts w:ascii="Times New Roman" w:hAnsi="Times New Roman"/>
          <w:lang w:val="en-US"/>
        </w:rPr>
        <w:br/>
      </w:r>
      <w:r w:rsidRPr="004A592F">
        <w:rPr>
          <w:rFonts w:ascii="Times New Roman" w:hAnsi="Times New Roman"/>
          <w:lang w:val="en-US"/>
        </w:rPr>
        <w:t xml:space="preserve">In particular, the reference materials provide data on the service life of energy system components (boiler </w:t>
      </w:r>
      <w:r w:rsidR="00DB374A">
        <w:rPr>
          <w:rFonts w:ascii="Times New Roman" w:hAnsi="Times New Roman"/>
          <w:lang w:val="en-US"/>
        </w:rPr>
        <w:br/>
      </w:r>
      <w:r w:rsidRPr="004A592F">
        <w:rPr>
          <w:rFonts w:ascii="Times New Roman" w:hAnsi="Times New Roman"/>
          <w:lang w:val="en-US"/>
        </w:rPr>
        <w:t xml:space="preserve">– 20 years, heat pump – 15 to 20 years) and maintenance costs (boiler – 1.5%, heat pump – 3%, electric heater – 1%). </w:t>
      </w:r>
      <w:r w:rsidR="004D5C85">
        <w:rPr>
          <w:rFonts w:ascii="Times New Roman" w:hAnsi="Times New Roman"/>
          <w:lang w:val="en-US"/>
        </w:rPr>
        <w:t>It</w:t>
      </w:r>
      <w:r w:rsidRPr="004A592F">
        <w:rPr>
          <w:rFonts w:ascii="Times New Roman" w:hAnsi="Times New Roman"/>
          <w:lang w:val="en-US"/>
        </w:rPr>
        <w:t xml:space="preserve"> means that at the end of the service life/lifecycle of the systems considered in this paper, its further operation is inefficient, and the system itself needs to be replaced. The change in integrated building heating costs for the </w:t>
      </w:r>
      <w:proofErr w:type="spellStart"/>
      <w:r w:rsidRPr="004A592F">
        <w:rPr>
          <w:rFonts w:ascii="Times New Roman" w:hAnsi="Times New Roman"/>
          <w:lang w:val="en-US"/>
        </w:rPr>
        <w:t>moderni</w:t>
      </w:r>
      <w:r w:rsidR="004D5C85">
        <w:rPr>
          <w:rFonts w:ascii="Times New Roman" w:hAnsi="Times New Roman"/>
          <w:lang w:val="en-US"/>
        </w:rPr>
        <w:t>s</w:t>
      </w:r>
      <w:r w:rsidRPr="004A592F">
        <w:rPr>
          <w:rFonts w:ascii="Times New Roman" w:hAnsi="Times New Roman"/>
          <w:lang w:val="en-US"/>
        </w:rPr>
        <w:t>ation</w:t>
      </w:r>
      <w:proofErr w:type="spellEnd"/>
      <w:r w:rsidRPr="004A592F">
        <w:rPr>
          <w:rFonts w:ascii="Times New Roman" w:hAnsi="Times New Roman"/>
          <w:lang w:val="en-US"/>
        </w:rPr>
        <w:t xml:space="preserve"> options under consideration, estimated over 20 years according to EN 15459-1:2017, is shown in Figure 4.</w:t>
      </w:r>
    </w:p>
    <w:p w14:paraId="6A229A2B" w14:textId="77777777" w:rsidR="004001F5" w:rsidRPr="004A592F" w:rsidRDefault="004001F5" w:rsidP="00893A07">
      <w:pPr>
        <w:spacing w:after="0" w:line="240" w:lineRule="auto"/>
        <w:ind w:firstLine="284"/>
        <w:jc w:val="both"/>
        <w:rPr>
          <w:rFonts w:ascii="Times New Roman" w:hAnsi="Times New Roman"/>
          <w:lang w:val="en-US"/>
        </w:rPr>
      </w:pPr>
    </w:p>
    <w:p w14:paraId="4C814327" w14:textId="1A24C246" w:rsidR="00893A07" w:rsidRPr="004A592F" w:rsidRDefault="00B774D9" w:rsidP="001F5676">
      <w:pPr>
        <w:pStyle w:val="Rtab"/>
      </w:pPr>
      <w:proofErr w:type="spellStart"/>
      <w:r w:rsidRPr="004A592F">
        <w:rPr>
          <w:b/>
        </w:rPr>
        <w:t>Table</w:t>
      </w:r>
      <w:proofErr w:type="spellEnd"/>
      <w:r w:rsidR="00893A07" w:rsidRPr="004A592F">
        <w:rPr>
          <w:b/>
        </w:rPr>
        <w:t xml:space="preserve"> 3. </w:t>
      </w:r>
      <w:r w:rsidRPr="004A592F">
        <w:t xml:space="preserve">Components of </w:t>
      </w:r>
      <w:proofErr w:type="spellStart"/>
      <w:r w:rsidRPr="004A592F">
        <w:t>integral</w:t>
      </w:r>
      <w:proofErr w:type="spellEnd"/>
      <w:r w:rsidRPr="004A592F">
        <w:t xml:space="preserve"> heating </w:t>
      </w:r>
      <w:proofErr w:type="spellStart"/>
      <w:r w:rsidRPr="004A592F">
        <w:t>costs</w:t>
      </w:r>
      <w:proofErr w:type="spellEnd"/>
      <w:r w:rsidRPr="004A592F">
        <w:t xml:space="preserve"> for </w:t>
      </w:r>
      <w:proofErr w:type="spellStart"/>
      <w:r w:rsidRPr="004A592F">
        <w:t>different</w:t>
      </w:r>
      <w:proofErr w:type="spellEnd"/>
      <w:r w:rsidRPr="004A592F">
        <w:t xml:space="preserve"> </w:t>
      </w:r>
      <w:proofErr w:type="spellStart"/>
      <w:r w:rsidRPr="004A592F">
        <w:t>levels</w:t>
      </w:r>
      <w:proofErr w:type="spellEnd"/>
      <w:r w:rsidRPr="004A592F">
        <w:t xml:space="preserve"> of </w:t>
      </w:r>
      <w:proofErr w:type="spellStart"/>
      <w:r w:rsidRPr="004A592F">
        <w:t>thermal</w:t>
      </w:r>
      <w:proofErr w:type="spellEnd"/>
      <w:r w:rsidRPr="004A592F">
        <w:t xml:space="preserve"> </w:t>
      </w:r>
      <w:proofErr w:type="spellStart"/>
      <w:r w:rsidRPr="004A592F">
        <w:t>protection</w:t>
      </w:r>
      <w:proofErr w:type="spellEnd"/>
      <w:r w:rsidRPr="004A592F">
        <w:t xml:space="preserve"> of a </w:t>
      </w:r>
      <w:proofErr w:type="spellStart"/>
      <w:r w:rsidRPr="004A592F">
        <w:t>building</w:t>
      </w:r>
      <w:proofErr w:type="spellEnd"/>
      <w:r w:rsidRPr="004A592F">
        <w:t xml:space="preserve"> </w:t>
      </w:r>
      <w:proofErr w:type="spellStart"/>
      <w:r w:rsidRPr="004A592F">
        <w:t>when</w:t>
      </w:r>
      <w:proofErr w:type="spellEnd"/>
      <w:r w:rsidRPr="004A592F">
        <w:t xml:space="preserve"> </w:t>
      </w:r>
      <w:proofErr w:type="spellStart"/>
      <w:r w:rsidRPr="004A592F">
        <w:t>using</w:t>
      </w:r>
      <w:proofErr w:type="spellEnd"/>
      <w:r w:rsidRPr="004A592F">
        <w:t xml:space="preserve"> </w:t>
      </w:r>
      <w:proofErr w:type="spellStart"/>
      <w:r w:rsidR="004D5C85">
        <w:t>various</w:t>
      </w:r>
      <w:proofErr w:type="spellEnd"/>
      <w:r w:rsidRPr="004A592F">
        <w:t xml:space="preserve"> </w:t>
      </w:r>
      <w:proofErr w:type="spellStart"/>
      <w:r w:rsidRPr="004A592F">
        <w:t>energy</w:t>
      </w:r>
      <w:proofErr w:type="spellEnd"/>
      <w:r w:rsidRPr="004A592F">
        <w:t xml:space="preserve"> </w:t>
      </w:r>
      <w:proofErr w:type="spellStart"/>
      <w:r w:rsidRPr="004A592F">
        <w:t>sources</w:t>
      </w:r>
      <w:proofErr w:type="spellEnd"/>
      <w:r w:rsidRPr="004A592F">
        <w:t xml:space="preserve"> for </w:t>
      </w:r>
      <w:r w:rsidR="004D5C85">
        <w:t xml:space="preserve">the </w:t>
      </w:r>
      <w:proofErr w:type="spellStart"/>
      <w:r w:rsidRPr="004A592F">
        <w:t>heat</w:t>
      </w:r>
      <w:proofErr w:type="spellEnd"/>
      <w:r w:rsidRPr="004A592F">
        <w:t xml:space="preserve"> </w:t>
      </w:r>
      <w:proofErr w:type="spellStart"/>
      <w:r w:rsidRPr="004A592F">
        <w:t>supply</w:t>
      </w:r>
      <w:proofErr w:type="spellEnd"/>
      <w:r w:rsidRPr="004A592F">
        <w:t xml:space="preserve"> of a </w:t>
      </w:r>
      <w:proofErr w:type="spellStart"/>
      <w:r w:rsidRPr="004A592F">
        <w:t>building</w:t>
      </w:r>
      <w:proofErr w:type="spellEnd"/>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011"/>
        <w:gridCol w:w="1677"/>
        <w:gridCol w:w="1608"/>
        <w:gridCol w:w="1515"/>
        <w:gridCol w:w="1488"/>
        <w:gridCol w:w="7"/>
      </w:tblGrid>
      <w:tr w:rsidR="00893A07" w:rsidRPr="001F5676" w14:paraId="0711E615" w14:textId="77777777" w:rsidTr="00685FFB">
        <w:trPr>
          <w:trHeight w:val="288"/>
        </w:trPr>
        <w:tc>
          <w:tcPr>
            <w:tcW w:w="2269" w:type="dxa"/>
            <w:vMerge w:val="restart"/>
            <w:shd w:val="clear" w:color="auto" w:fill="auto"/>
            <w:noWrap/>
            <w:vAlign w:val="center"/>
            <w:hideMark/>
          </w:tcPr>
          <w:p w14:paraId="379F5C37" w14:textId="03D3A265" w:rsidR="00893A07" w:rsidRPr="001F5676" w:rsidRDefault="00B774D9" w:rsidP="00B774D9">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 xml:space="preserve">Thermal protection </w:t>
            </w:r>
            <w:r w:rsidR="00685FFB">
              <w:rPr>
                <w:rFonts w:ascii="Times New Roman" w:eastAsia="Times New Roman" w:hAnsi="Times New Roman"/>
                <w:bCs/>
                <w:lang w:val="en-US"/>
              </w:rPr>
              <w:br/>
            </w:r>
            <w:r w:rsidRPr="001F5676">
              <w:rPr>
                <w:rFonts w:ascii="Times New Roman" w:eastAsia="Times New Roman" w:hAnsi="Times New Roman"/>
                <w:bCs/>
                <w:lang w:val="en-US"/>
              </w:rPr>
              <w:t xml:space="preserve">of building </w:t>
            </w:r>
            <w:r w:rsidR="00685FFB">
              <w:rPr>
                <w:rFonts w:ascii="Times New Roman" w:eastAsia="Times New Roman" w:hAnsi="Times New Roman"/>
                <w:bCs/>
                <w:lang w:val="en-US"/>
              </w:rPr>
              <w:br/>
            </w:r>
            <w:r w:rsidRPr="001F5676">
              <w:rPr>
                <w:rFonts w:ascii="Times New Roman" w:eastAsia="Times New Roman" w:hAnsi="Times New Roman"/>
                <w:bCs/>
                <w:lang w:val="en-US"/>
              </w:rPr>
              <w:t>– Source of energy</w:t>
            </w:r>
          </w:p>
        </w:tc>
        <w:tc>
          <w:tcPr>
            <w:tcW w:w="7306" w:type="dxa"/>
            <w:gridSpan w:val="6"/>
            <w:vAlign w:val="center"/>
          </w:tcPr>
          <w:p w14:paraId="77A16E50" w14:textId="77777777" w:rsidR="00893A07" w:rsidRPr="001F5676" w:rsidRDefault="00B774D9" w:rsidP="00685FFB">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Expenditures</w:t>
            </w:r>
          </w:p>
        </w:tc>
      </w:tr>
      <w:tr w:rsidR="00893A07" w:rsidRPr="001F5676" w14:paraId="742AF2CA" w14:textId="77777777" w:rsidTr="00685FFB">
        <w:trPr>
          <w:trHeight w:val="575"/>
        </w:trPr>
        <w:tc>
          <w:tcPr>
            <w:tcW w:w="2269" w:type="dxa"/>
            <w:vMerge/>
            <w:shd w:val="clear" w:color="auto" w:fill="auto"/>
            <w:noWrap/>
            <w:vAlign w:val="center"/>
          </w:tcPr>
          <w:p w14:paraId="54B46036" w14:textId="77777777" w:rsidR="00893A07" w:rsidRPr="001F5676" w:rsidRDefault="00893A07" w:rsidP="00893A07">
            <w:pPr>
              <w:spacing w:after="0" w:line="240" w:lineRule="auto"/>
              <w:jc w:val="center"/>
              <w:rPr>
                <w:rFonts w:ascii="Times New Roman" w:eastAsia="Times New Roman" w:hAnsi="Times New Roman"/>
                <w:bCs/>
                <w:lang w:val="en-US"/>
              </w:rPr>
            </w:pPr>
          </w:p>
        </w:tc>
        <w:tc>
          <w:tcPr>
            <w:tcW w:w="1011" w:type="dxa"/>
            <w:vMerge w:val="restart"/>
            <w:vAlign w:val="center"/>
          </w:tcPr>
          <w:p w14:paraId="26DBD461" w14:textId="77777777" w:rsidR="00893A07" w:rsidRPr="001F5676" w:rsidRDefault="00B774D9" w:rsidP="00685FFB">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Fuel energy, thousand kWh</w:t>
            </w:r>
          </w:p>
        </w:tc>
        <w:tc>
          <w:tcPr>
            <w:tcW w:w="3285" w:type="dxa"/>
            <w:gridSpan w:val="2"/>
            <w:vAlign w:val="center"/>
          </w:tcPr>
          <w:p w14:paraId="5A6F6221" w14:textId="6909A6E0" w:rsidR="00893A07" w:rsidRPr="001F5676" w:rsidRDefault="00B774D9" w:rsidP="00685FFB">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 xml:space="preserve">Investment expenditure </w:t>
            </w:r>
            <w:r w:rsidR="00685FFB">
              <w:rPr>
                <w:rFonts w:ascii="Times New Roman" w:eastAsia="Times New Roman" w:hAnsi="Times New Roman"/>
                <w:bCs/>
                <w:lang w:val="en-US"/>
              </w:rPr>
              <w:br/>
            </w:r>
            <w:r w:rsidRPr="001F5676">
              <w:rPr>
                <w:rFonts w:ascii="Times New Roman" w:eastAsia="Times New Roman" w:hAnsi="Times New Roman"/>
                <w:bCs/>
                <w:lang w:val="en-US"/>
              </w:rPr>
              <w:t>(</w:t>
            </w:r>
            <w:r w:rsidR="00F42D57" w:rsidRPr="001F5676">
              <w:rPr>
                <w:rFonts w:ascii="Times New Roman" w:eastAsia="Times New Roman" w:hAnsi="Times New Roman"/>
                <w:bCs/>
                <w:lang w:val="en-US"/>
              </w:rPr>
              <w:t>EUR thousand</w:t>
            </w:r>
            <w:r w:rsidRPr="001F5676">
              <w:rPr>
                <w:rFonts w:ascii="Times New Roman" w:eastAsia="Times New Roman" w:hAnsi="Times New Roman"/>
                <w:bCs/>
                <w:lang w:val="en-US"/>
              </w:rPr>
              <w:t>)</w:t>
            </w:r>
          </w:p>
        </w:tc>
        <w:tc>
          <w:tcPr>
            <w:tcW w:w="3010" w:type="dxa"/>
            <w:gridSpan w:val="3"/>
            <w:shd w:val="clear" w:color="auto" w:fill="auto"/>
            <w:vAlign w:val="center"/>
          </w:tcPr>
          <w:p w14:paraId="7E148478" w14:textId="3253C355" w:rsidR="00893A07" w:rsidRPr="001F5676" w:rsidRDefault="00B774D9" w:rsidP="00B774D9">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 xml:space="preserve">Annual expenditure </w:t>
            </w:r>
            <w:r w:rsidR="00685FFB">
              <w:rPr>
                <w:rFonts w:ascii="Times New Roman" w:eastAsia="Times New Roman" w:hAnsi="Times New Roman"/>
                <w:bCs/>
                <w:lang w:val="en-US"/>
              </w:rPr>
              <w:br/>
            </w:r>
            <w:r w:rsidRPr="001F5676">
              <w:rPr>
                <w:rFonts w:ascii="Times New Roman" w:eastAsia="Times New Roman" w:hAnsi="Times New Roman"/>
                <w:bCs/>
                <w:lang w:val="en-US"/>
              </w:rPr>
              <w:t>(</w:t>
            </w:r>
            <w:r w:rsidR="00F42D57" w:rsidRPr="001F5676">
              <w:rPr>
                <w:rFonts w:ascii="Times New Roman" w:eastAsia="Times New Roman" w:hAnsi="Times New Roman"/>
                <w:bCs/>
                <w:lang w:val="en-US"/>
              </w:rPr>
              <w:t>EUR thousand</w:t>
            </w:r>
            <w:r w:rsidRPr="001F5676">
              <w:rPr>
                <w:rFonts w:ascii="Times New Roman" w:eastAsia="Times New Roman" w:hAnsi="Times New Roman"/>
                <w:bCs/>
                <w:lang w:val="en-US"/>
              </w:rPr>
              <w:t>)</w:t>
            </w:r>
          </w:p>
        </w:tc>
      </w:tr>
      <w:tr w:rsidR="00893A07" w:rsidRPr="001F5676" w14:paraId="5DF408B6" w14:textId="77777777" w:rsidTr="00685FFB">
        <w:trPr>
          <w:gridAfter w:val="1"/>
          <w:wAfter w:w="7" w:type="dxa"/>
          <w:trHeight w:val="913"/>
        </w:trPr>
        <w:tc>
          <w:tcPr>
            <w:tcW w:w="2269" w:type="dxa"/>
            <w:vMerge/>
            <w:vAlign w:val="center"/>
            <w:hideMark/>
          </w:tcPr>
          <w:p w14:paraId="2EB131AF" w14:textId="77777777" w:rsidR="00893A07" w:rsidRPr="001F5676" w:rsidRDefault="00893A07" w:rsidP="00893A07">
            <w:pPr>
              <w:spacing w:after="0" w:line="240" w:lineRule="auto"/>
              <w:jc w:val="center"/>
              <w:rPr>
                <w:rFonts w:ascii="Times New Roman" w:eastAsia="Times New Roman" w:hAnsi="Times New Roman"/>
                <w:bCs/>
                <w:lang w:val="en-US"/>
              </w:rPr>
            </w:pPr>
          </w:p>
        </w:tc>
        <w:tc>
          <w:tcPr>
            <w:tcW w:w="1011" w:type="dxa"/>
            <w:vMerge/>
          </w:tcPr>
          <w:p w14:paraId="5ECBDB9E" w14:textId="77777777" w:rsidR="00893A07" w:rsidRPr="001F5676" w:rsidRDefault="00893A07" w:rsidP="00893A07">
            <w:pPr>
              <w:spacing w:after="0" w:line="240" w:lineRule="auto"/>
              <w:jc w:val="center"/>
              <w:rPr>
                <w:rFonts w:ascii="Times New Roman" w:eastAsia="Times New Roman" w:hAnsi="Times New Roman"/>
                <w:bCs/>
                <w:lang w:val="en-US"/>
              </w:rPr>
            </w:pPr>
          </w:p>
        </w:tc>
        <w:tc>
          <w:tcPr>
            <w:tcW w:w="1677" w:type="dxa"/>
            <w:vAlign w:val="center"/>
          </w:tcPr>
          <w:p w14:paraId="4DB51C75" w14:textId="77777777" w:rsidR="00893A07" w:rsidRPr="001F5676" w:rsidRDefault="00B774D9" w:rsidP="00B774D9">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 xml:space="preserve">Improvement of building thermal protection </w:t>
            </w:r>
            <w:proofErr w:type="spellStart"/>
            <w:r w:rsidR="003B3EF4" w:rsidRPr="001F5676">
              <w:rPr>
                <w:rFonts w:ascii="Times New Roman" w:eastAsia="Times New Roman" w:hAnsi="Times New Roman"/>
                <w:bCs/>
                <w:lang w:val="en-US"/>
              </w:rPr>
              <w:t>Іthp</w:t>
            </w:r>
            <w:proofErr w:type="spellEnd"/>
          </w:p>
        </w:tc>
        <w:tc>
          <w:tcPr>
            <w:tcW w:w="1608" w:type="dxa"/>
            <w:shd w:val="clear" w:color="auto" w:fill="auto"/>
            <w:noWrap/>
            <w:vAlign w:val="center"/>
          </w:tcPr>
          <w:p w14:paraId="38118919" w14:textId="77777777" w:rsidR="00893A07" w:rsidRPr="001F5676" w:rsidRDefault="00B774D9" w:rsidP="00893A07">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Equipment purchased</w:t>
            </w:r>
            <w:r w:rsidR="003B3EF4" w:rsidRPr="001F5676">
              <w:rPr>
                <w:rFonts w:ascii="Times New Roman" w:eastAsia="Times New Roman" w:hAnsi="Times New Roman"/>
                <w:bCs/>
                <w:lang w:val="en-US"/>
              </w:rPr>
              <w:t>, Iep</w:t>
            </w:r>
            <w:r w:rsidR="00893A07" w:rsidRPr="001F5676">
              <w:rPr>
                <w:rFonts w:ascii="Times New Roman" w:eastAsia="Times New Roman" w:hAnsi="Times New Roman"/>
                <w:bCs/>
                <w:lang w:val="en-US"/>
              </w:rPr>
              <w:t>*</w:t>
            </w:r>
          </w:p>
        </w:tc>
        <w:tc>
          <w:tcPr>
            <w:tcW w:w="1515" w:type="dxa"/>
            <w:shd w:val="clear" w:color="auto" w:fill="auto"/>
            <w:noWrap/>
            <w:vAlign w:val="center"/>
          </w:tcPr>
          <w:p w14:paraId="13C560B2" w14:textId="1BC813F9" w:rsidR="00893A07" w:rsidRPr="001F5676" w:rsidRDefault="00B774D9" w:rsidP="00B774D9">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 xml:space="preserve">Energy </w:t>
            </w:r>
            <w:r w:rsidR="00685FFB">
              <w:rPr>
                <w:rFonts w:ascii="Times New Roman" w:eastAsia="Times New Roman" w:hAnsi="Times New Roman"/>
                <w:bCs/>
                <w:lang w:val="en-US"/>
              </w:rPr>
              <w:br/>
            </w:r>
            <w:r w:rsidRPr="001F5676">
              <w:rPr>
                <w:rFonts w:ascii="Times New Roman" w:eastAsia="Times New Roman" w:hAnsi="Times New Roman"/>
                <w:bCs/>
                <w:lang w:val="en-US"/>
              </w:rPr>
              <w:t>consumed</w:t>
            </w:r>
            <w:r w:rsidR="00893A07" w:rsidRPr="001F5676">
              <w:rPr>
                <w:rFonts w:ascii="Times New Roman" w:eastAsia="Times New Roman" w:hAnsi="Times New Roman"/>
                <w:bCs/>
                <w:lang w:val="en-US"/>
              </w:rPr>
              <w:t>, B</w:t>
            </w:r>
            <w:r w:rsidRPr="001F5676">
              <w:rPr>
                <w:rFonts w:ascii="Times New Roman" w:eastAsia="Times New Roman" w:hAnsi="Times New Roman"/>
                <w:bCs/>
                <w:lang w:val="en-US"/>
              </w:rPr>
              <w:t>en</w:t>
            </w:r>
          </w:p>
        </w:tc>
        <w:tc>
          <w:tcPr>
            <w:tcW w:w="1488" w:type="dxa"/>
            <w:shd w:val="clear" w:color="auto" w:fill="auto"/>
            <w:noWrap/>
            <w:vAlign w:val="center"/>
            <w:hideMark/>
          </w:tcPr>
          <w:p w14:paraId="3163D520" w14:textId="726EB2A3" w:rsidR="00893A07" w:rsidRPr="001F5676" w:rsidRDefault="00B774D9" w:rsidP="00685FFB">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Other costs</w:t>
            </w:r>
            <w:r w:rsidR="00893A07" w:rsidRPr="001F5676">
              <w:rPr>
                <w:rFonts w:ascii="Times New Roman" w:eastAsia="Times New Roman" w:hAnsi="Times New Roman"/>
                <w:bCs/>
                <w:lang w:val="en-US"/>
              </w:rPr>
              <w:t xml:space="preserve">, </w:t>
            </w:r>
            <w:proofErr w:type="spellStart"/>
            <w:r w:rsidR="00893A07" w:rsidRPr="001F5676">
              <w:rPr>
                <w:rFonts w:ascii="Times New Roman" w:eastAsia="Times New Roman" w:hAnsi="Times New Roman"/>
                <w:bCs/>
                <w:lang w:val="en-US"/>
              </w:rPr>
              <w:t>В</w:t>
            </w:r>
            <w:r w:rsidRPr="001F5676">
              <w:rPr>
                <w:rFonts w:ascii="Times New Roman" w:eastAsia="Times New Roman" w:hAnsi="Times New Roman"/>
                <w:bCs/>
                <w:lang w:val="en-US"/>
              </w:rPr>
              <w:t>oper</w:t>
            </w:r>
            <w:proofErr w:type="spellEnd"/>
            <w:r w:rsidR="00893A07" w:rsidRPr="001F5676">
              <w:rPr>
                <w:rFonts w:ascii="Times New Roman" w:eastAsia="Times New Roman" w:hAnsi="Times New Roman"/>
                <w:bCs/>
                <w:lang w:val="en-US"/>
              </w:rPr>
              <w:t>**</w:t>
            </w:r>
          </w:p>
        </w:tc>
      </w:tr>
      <w:tr w:rsidR="00893A07" w:rsidRPr="004A592F" w14:paraId="79ED6919" w14:textId="77777777" w:rsidTr="001F5676">
        <w:trPr>
          <w:gridAfter w:val="1"/>
          <w:wAfter w:w="7" w:type="dxa"/>
          <w:trHeight w:val="288"/>
        </w:trPr>
        <w:tc>
          <w:tcPr>
            <w:tcW w:w="2269" w:type="dxa"/>
            <w:shd w:val="clear" w:color="auto" w:fill="auto"/>
            <w:vAlign w:val="center"/>
            <w:hideMark/>
          </w:tcPr>
          <w:p w14:paraId="75FF1105" w14:textId="77777777" w:rsidR="00893A07" w:rsidRPr="004A592F" w:rsidRDefault="00893A07" w:rsidP="00A22B8F">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І – 1</w:t>
            </w:r>
          </w:p>
        </w:tc>
        <w:tc>
          <w:tcPr>
            <w:tcW w:w="1011" w:type="dxa"/>
            <w:vAlign w:val="center"/>
          </w:tcPr>
          <w:p w14:paraId="553CE407" w14:textId="77777777" w:rsidR="00893A07" w:rsidRPr="004A592F" w:rsidRDefault="00893A07" w:rsidP="00A22B8F">
            <w:pPr>
              <w:spacing w:after="0" w:line="240" w:lineRule="auto"/>
              <w:ind w:right="113"/>
              <w:jc w:val="right"/>
              <w:rPr>
                <w:rFonts w:ascii="Times New Roman" w:eastAsia="Times New Roman" w:hAnsi="Times New Roman"/>
                <w:lang w:val="en-US"/>
              </w:rPr>
            </w:pPr>
            <w:r w:rsidRPr="004A592F">
              <w:rPr>
                <w:rFonts w:ascii="Times New Roman" w:eastAsia="Times New Roman" w:hAnsi="Times New Roman"/>
                <w:lang w:val="en-US"/>
              </w:rPr>
              <w:t>451</w:t>
            </w:r>
            <w:r w:rsidR="00B774D9" w:rsidRPr="004A592F">
              <w:rPr>
                <w:rFonts w:ascii="Times New Roman" w:eastAsia="Times New Roman" w:hAnsi="Times New Roman"/>
                <w:lang w:val="en-US"/>
              </w:rPr>
              <w:t>.</w:t>
            </w:r>
            <w:r w:rsidRPr="004A592F">
              <w:rPr>
                <w:rFonts w:ascii="Times New Roman" w:eastAsia="Times New Roman" w:hAnsi="Times New Roman"/>
                <w:lang w:val="en-US"/>
              </w:rPr>
              <w:t>98</w:t>
            </w:r>
          </w:p>
        </w:tc>
        <w:tc>
          <w:tcPr>
            <w:tcW w:w="1677" w:type="dxa"/>
            <w:vAlign w:val="center"/>
          </w:tcPr>
          <w:p w14:paraId="1C04BA16" w14:textId="1AE16FD3" w:rsidR="00893A07" w:rsidRPr="004A592F" w:rsidRDefault="003C0556" w:rsidP="00893A07">
            <w:pPr>
              <w:spacing w:after="0" w:line="240" w:lineRule="auto"/>
              <w:jc w:val="center"/>
              <w:rPr>
                <w:rFonts w:ascii="Times New Roman" w:eastAsia="Times New Roman" w:hAnsi="Times New Roman"/>
                <w:lang w:val="en-US"/>
              </w:rPr>
            </w:pPr>
            <w:r>
              <w:rPr>
                <w:rFonts w:ascii="Times New Roman" w:eastAsia="Times New Roman" w:hAnsi="Times New Roman"/>
                <w:lang w:val="en-US"/>
              </w:rPr>
              <w:t>–</w:t>
            </w:r>
          </w:p>
        </w:tc>
        <w:tc>
          <w:tcPr>
            <w:tcW w:w="1608" w:type="dxa"/>
            <w:shd w:val="clear" w:color="auto" w:fill="auto"/>
            <w:noWrap/>
            <w:vAlign w:val="center"/>
          </w:tcPr>
          <w:p w14:paraId="7C6393CA" w14:textId="76AFD930" w:rsidR="00893A07" w:rsidRPr="004A592F" w:rsidRDefault="003C0556" w:rsidP="00893A07">
            <w:pPr>
              <w:spacing w:after="0" w:line="240" w:lineRule="auto"/>
              <w:jc w:val="center"/>
              <w:rPr>
                <w:rFonts w:ascii="Times New Roman" w:eastAsia="Times New Roman" w:hAnsi="Times New Roman"/>
                <w:lang w:val="en-US"/>
              </w:rPr>
            </w:pPr>
            <w:r>
              <w:rPr>
                <w:rFonts w:ascii="Times New Roman" w:eastAsia="Times New Roman" w:hAnsi="Times New Roman"/>
                <w:lang w:val="en-US"/>
              </w:rPr>
              <w:t>–</w:t>
            </w:r>
          </w:p>
        </w:tc>
        <w:tc>
          <w:tcPr>
            <w:tcW w:w="1515" w:type="dxa"/>
            <w:shd w:val="clear" w:color="auto" w:fill="auto"/>
            <w:noWrap/>
            <w:vAlign w:val="center"/>
          </w:tcPr>
          <w:p w14:paraId="13299642" w14:textId="77777777" w:rsidR="00893A07" w:rsidRPr="004A592F" w:rsidRDefault="00893A07" w:rsidP="00A22B8F">
            <w:pPr>
              <w:spacing w:after="0" w:line="240" w:lineRule="auto"/>
              <w:ind w:right="343"/>
              <w:jc w:val="right"/>
              <w:rPr>
                <w:rFonts w:ascii="Times New Roman" w:eastAsia="Times New Roman" w:hAnsi="Times New Roman"/>
                <w:lang w:val="en-US"/>
              </w:rPr>
            </w:pPr>
            <w:r w:rsidRPr="004A592F">
              <w:rPr>
                <w:rFonts w:ascii="Times New Roman" w:eastAsia="Times New Roman" w:hAnsi="Times New Roman"/>
                <w:lang w:val="en-US"/>
              </w:rPr>
              <w:t>59</w:t>
            </w:r>
            <w:r w:rsidR="00F327B4" w:rsidRPr="004A592F">
              <w:rPr>
                <w:rFonts w:ascii="Times New Roman" w:eastAsia="Times New Roman" w:hAnsi="Times New Roman"/>
                <w:lang w:val="en-US"/>
              </w:rPr>
              <w:t>.</w:t>
            </w:r>
            <w:r w:rsidRPr="004A592F">
              <w:rPr>
                <w:rFonts w:ascii="Times New Roman" w:eastAsia="Times New Roman" w:hAnsi="Times New Roman"/>
                <w:lang w:val="en-US"/>
              </w:rPr>
              <w:t>94</w:t>
            </w:r>
          </w:p>
        </w:tc>
        <w:tc>
          <w:tcPr>
            <w:tcW w:w="1488" w:type="dxa"/>
            <w:shd w:val="clear" w:color="auto" w:fill="auto"/>
            <w:noWrap/>
            <w:vAlign w:val="center"/>
            <w:hideMark/>
          </w:tcPr>
          <w:p w14:paraId="3D762EC7" w14:textId="77777777" w:rsidR="00893A07" w:rsidRPr="004A592F" w:rsidRDefault="00893A07" w:rsidP="00F327B4">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1</w:t>
            </w:r>
            <w:r w:rsidR="00F327B4" w:rsidRPr="004A592F">
              <w:rPr>
                <w:rFonts w:ascii="Times New Roman" w:eastAsia="Times New Roman" w:hAnsi="Times New Roman"/>
                <w:lang w:val="en-US"/>
              </w:rPr>
              <w:t>.</w:t>
            </w:r>
            <w:r w:rsidRPr="004A592F">
              <w:rPr>
                <w:rFonts w:ascii="Times New Roman" w:eastAsia="Times New Roman" w:hAnsi="Times New Roman"/>
                <w:lang w:val="en-US"/>
              </w:rPr>
              <w:t>13</w:t>
            </w:r>
          </w:p>
        </w:tc>
      </w:tr>
      <w:tr w:rsidR="00893A07" w:rsidRPr="004A592F" w14:paraId="2BC9CCF4" w14:textId="77777777" w:rsidTr="001F5676">
        <w:trPr>
          <w:gridAfter w:val="1"/>
          <w:wAfter w:w="7" w:type="dxa"/>
          <w:trHeight w:val="288"/>
        </w:trPr>
        <w:tc>
          <w:tcPr>
            <w:tcW w:w="2269" w:type="dxa"/>
            <w:shd w:val="clear" w:color="auto" w:fill="auto"/>
            <w:vAlign w:val="center"/>
            <w:hideMark/>
          </w:tcPr>
          <w:p w14:paraId="23E5D800" w14:textId="77777777" w:rsidR="00893A07" w:rsidRPr="004A592F" w:rsidRDefault="00893A07" w:rsidP="00A22B8F">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І – 2</w:t>
            </w:r>
          </w:p>
        </w:tc>
        <w:tc>
          <w:tcPr>
            <w:tcW w:w="1011" w:type="dxa"/>
            <w:vAlign w:val="center"/>
          </w:tcPr>
          <w:p w14:paraId="439C2B7A" w14:textId="77777777" w:rsidR="00893A07" w:rsidRPr="004A592F" w:rsidRDefault="00893A07" w:rsidP="00A22B8F">
            <w:pPr>
              <w:spacing w:after="0" w:line="240" w:lineRule="auto"/>
              <w:ind w:right="113"/>
              <w:jc w:val="right"/>
              <w:rPr>
                <w:rFonts w:ascii="Times New Roman" w:eastAsia="Times New Roman" w:hAnsi="Times New Roman"/>
                <w:lang w:val="en-US"/>
              </w:rPr>
            </w:pPr>
            <w:r w:rsidRPr="004A592F">
              <w:rPr>
                <w:rFonts w:ascii="Times New Roman" w:eastAsia="Times New Roman" w:hAnsi="Times New Roman"/>
                <w:lang w:val="en-US"/>
              </w:rPr>
              <w:t>447</w:t>
            </w:r>
            <w:r w:rsidR="00B774D9" w:rsidRPr="004A592F">
              <w:rPr>
                <w:rFonts w:ascii="Times New Roman" w:eastAsia="Times New Roman" w:hAnsi="Times New Roman"/>
                <w:lang w:val="en-US"/>
              </w:rPr>
              <w:t>.</w:t>
            </w:r>
            <w:r w:rsidRPr="004A592F">
              <w:rPr>
                <w:rFonts w:ascii="Times New Roman" w:eastAsia="Times New Roman" w:hAnsi="Times New Roman"/>
                <w:lang w:val="en-US"/>
              </w:rPr>
              <w:t>45</w:t>
            </w:r>
          </w:p>
        </w:tc>
        <w:tc>
          <w:tcPr>
            <w:tcW w:w="1677" w:type="dxa"/>
            <w:vAlign w:val="center"/>
          </w:tcPr>
          <w:p w14:paraId="593CB8FE" w14:textId="6A5048E4" w:rsidR="00893A07" w:rsidRPr="004A592F" w:rsidRDefault="003C0556" w:rsidP="00893A07">
            <w:pPr>
              <w:spacing w:after="0" w:line="240" w:lineRule="auto"/>
              <w:jc w:val="center"/>
              <w:rPr>
                <w:rFonts w:ascii="Times New Roman" w:eastAsia="Times New Roman" w:hAnsi="Times New Roman"/>
                <w:lang w:val="en-US"/>
              </w:rPr>
            </w:pPr>
            <w:r>
              <w:rPr>
                <w:rFonts w:ascii="Times New Roman" w:eastAsia="Times New Roman" w:hAnsi="Times New Roman"/>
                <w:lang w:val="en-US"/>
              </w:rPr>
              <w:t>–</w:t>
            </w:r>
          </w:p>
        </w:tc>
        <w:tc>
          <w:tcPr>
            <w:tcW w:w="1608" w:type="dxa"/>
            <w:shd w:val="clear" w:color="auto" w:fill="auto"/>
            <w:noWrap/>
            <w:vAlign w:val="center"/>
          </w:tcPr>
          <w:p w14:paraId="0991C1AB" w14:textId="77777777" w:rsidR="00893A07" w:rsidRPr="004A592F" w:rsidRDefault="00893A07" w:rsidP="00A22B8F">
            <w:pPr>
              <w:spacing w:after="0" w:line="240" w:lineRule="auto"/>
              <w:ind w:right="388"/>
              <w:jc w:val="right"/>
              <w:rPr>
                <w:rFonts w:ascii="Times New Roman" w:eastAsia="Times New Roman" w:hAnsi="Times New Roman"/>
                <w:lang w:val="en-US"/>
              </w:rPr>
            </w:pPr>
            <w:r w:rsidRPr="004A592F">
              <w:rPr>
                <w:rFonts w:ascii="Times New Roman" w:eastAsia="Times New Roman" w:hAnsi="Times New Roman"/>
                <w:lang w:val="en-US"/>
              </w:rPr>
              <w:t>22</w:t>
            </w:r>
            <w:r w:rsidR="00FD673A" w:rsidRPr="004A592F">
              <w:rPr>
                <w:rFonts w:ascii="Times New Roman" w:eastAsia="Times New Roman" w:hAnsi="Times New Roman"/>
                <w:lang w:val="en-US"/>
              </w:rPr>
              <w:t>.</w:t>
            </w:r>
            <w:r w:rsidRPr="004A592F">
              <w:rPr>
                <w:rFonts w:ascii="Times New Roman" w:eastAsia="Times New Roman" w:hAnsi="Times New Roman"/>
                <w:lang w:val="en-US"/>
              </w:rPr>
              <w:t>39</w:t>
            </w:r>
          </w:p>
        </w:tc>
        <w:tc>
          <w:tcPr>
            <w:tcW w:w="1515" w:type="dxa"/>
            <w:shd w:val="clear" w:color="auto" w:fill="auto"/>
            <w:noWrap/>
            <w:vAlign w:val="center"/>
          </w:tcPr>
          <w:p w14:paraId="37BF64FC" w14:textId="77777777" w:rsidR="00893A07" w:rsidRPr="004A592F" w:rsidRDefault="00893A07" w:rsidP="00A22B8F">
            <w:pPr>
              <w:spacing w:after="0" w:line="240" w:lineRule="auto"/>
              <w:ind w:right="343"/>
              <w:jc w:val="right"/>
              <w:rPr>
                <w:rFonts w:ascii="Times New Roman" w:eastAsia="Times New Roman" w:hAnsi="Times New Roman"/>
                <w:lang w:val="en-US"/>
              </w:rPr>
            </w:pPr>
            <w:r w:rsidRPr="004A592F">
              <w:rPr>
                <w:rFonts w:ascii="Times New Roman" w:eastAsia="Times New Roman" w:hAnsi="Times New Roman"/>
                <w:lang w:val="en-US"/>
              </w:rPr>
              <w:t>58</w:t>
            </w:r>
            <w:r w:rsidR="00F327B4" w:rsidRPr="004A592F">
              <w:rPr>
                <w:rFonts w:ascii="Times New Roman" w:eastAsia="Times New Roman" w:hAnsi="Times New Roman"/>
                <w:lang w:val="en-US"/>
              </w:rPr>
              <w:t>.</w:t>
            </w:r>
            <w:r w:rsidRPr="004A592F">
              <w:rPr>
                <w:rFonts w:ascii="Times New Roman" w:eastAsia="Times New Roman" w:hAnsi="Times New Roman"/>
                <w:lang w:val="en-US"/>
              </w:rPr>
              <w:t>34</w:t>
            </w:r>
          </w:p>
        </w:tc>
        <w:tc>
          <w:tcPr>
            <w:tcW w:w="1488" w:type="dxa"/>
            <w:shd w:val="clear" w:color="auto" w:fill="auto"/>
            <w:noWrap/>
            <w:vAlign w:val="center"/>
            <w:hideMark/>
          </w:tcPr>
          <w:p w14:paraId="4491E34D" w14:textId="77777777" w:rsidR="00893A07" w:rsidRPr="004A592F" w:rsidRDefault="00893A07" w:rsidP="00F327B4">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0</w:t>
            </w:r>
            <w:r w:rsidR="00F327B4" w:rsidRPr="004A592F">
              <w:rPr>
                <w:rFonts w:ascii="Times New Roman" w:eastAsia="Times New Roman" w:hAnsi="Times New Roman"/>
                <w:lang w:val="en-US"/>
              </w:rPr>
              <w:t>.</w:t>
            </w:r>
            <w:r w:rsidRPr="004A592F">
              <w:rPr>
                <w:rFonts w:ascii="Times New Roman" w:eastAsia="Times New Roman" w:hAnsi="Times New Roman"/>
                <w:lang w:val="en-US"/>
              </w:rPr>
              <w:t>21</w:t>
            </w:r>
          </w:p>
        </w:tc>
      </w:tr>
      <w:tr w:rsidR="00893A07" w:rsidRPr="004A592F" w14:paraId="35B159B2" w14:textId="77777777" w:rsidTr="001F5676">
        <w:trPr>
          <w:gridAfter w:val="1"/>
          <w:wAfter w:w="7" w:type="dxa"/>
          <w:trHeight w:val="288"/>
        </w:trPr>
        <w:tc>
          <w:tcPr>
            <w:tcW w:w="2269" w:type="dxa"/>
            <w:shd w:val="clear" w:color="auto" w:fill="auto"/>
            <w:vAlign w:val="center"/>
          </w:tcPr>
          <w:p w14:paraId="77C86728" w14:textId="77777777" w:rsidR="00893A07" w:rsidRPr="004A592F" w:rsidRDefault="00893A07" w:rsidP="00A22B8F">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І – 1, 3</w:t>
            </w:r>
          </w:p>
        </w:tc>
        <w:tc>
          <w:tcPr>
            <w:tcW w:w="1011" w:type="dxa"/>
            <w:vAlign w:val="center"/>
          </w:tcPr>
          <w:p w14:paraId="5E2A646A" w14:textId="77777777" w:rsidR="00893A07" w:rsidRPr="004A592F" w:rsidRDefault="00893A07" w:rsidP="00A22B8F">
            <w:pPr>
              <w:spacing w:after="0" w:line="240" w:lineRule="auto"/>
              <w:ind w:right="113"/>
              <w:jc w:val="right"/>
              <w:rPr>
                <w:rFonts w:ascii="Times New Roman" w:eastAsia="Times New Roman" w:hAnsi="Times New Roman"/>
                <w:lang w:val="en-US"/>
              </w:rPr>
            </w:pPr>
            <w:r w:rsidRPr="004A592F">
              <w:rPr>
                <w:rFonts w:ascii="Times New Roman" w:eastAsia="Times New Roman" w:hAnsi="Times New Roman"/>
                <w:lang w:val="en-US"/>
              </w:rPr>
              <w:t>319</w:t>
            </w:r>
            <w:r w:rsidR="00B774D9" w:rsidRPr="004A592F">
              <w:rPr>
                <w:rFonts w:ascii="Times New Roman" w:eastAsia="Times New Roman" w:hAnsi="Times New Roman"/>
                <w:lang w:val="en-US"/>
              </w:rPr>
              <w:t>.</w:t>
            </w:r>
            <w:r w:rsidRPr="004A592F">
              <w:rPr>
                <w:rFonts w:ascii="Times New Roman" w:eastAsia="Times New Roman" w:hAnsi="Times New Roman"/>
                <w:lang w:val="en-US"/>
              </w:rPr>
              <w:t>99</w:t>
            </w:r>
          </w:p>
        </w:tc>
        <w:tc>
          <w:tcPr>
            <w:tcW w:w="1677" w:type="dxa"/>
            <w:vAlign w:val="center"/>
          </w:tcPr>
          <w:p w14:paraId="1B5B0C27" w14:textId="6D3CBFB2" w:rsidR="00893A07" w:rsidRPr="004A592F" w:rsidRDefault="003C0556" w:rsidP="00893A07">
            <w:pPr>
              <w:spacing w:after="0" w:line="240" w:lineRule="auto"/>
              <w:jc w:val="center"/>
              <w:rPr>
                <w:rFonts w:ascii="Times New Roman" w:eastAsia="Times New Roman" w:hAnsi="Times New Roman"/>
                <w:lang w:val="en-US"/>
              </w:rPr>
            </w:pPr>
            <w:r>
              <w:rPr>
                <w:rFonts w:ascii="Times New Roman" w:eastAsia="Times New Roman" w:hAnsi="Times New Roman"/>
                <w:lang w:val="en-US"/>
              </w:rPr>
              <w:t>–</w:t>
            </w:r>
          </w:p>
        </w:tc>
        <w:tc>
          <w:tcPr>
            <w:tcW w:w="1608" w:type="dxa"/>
            <w:shd w:val="clear" w:color="auto" w:fill="auto"/>
            <w:noWrap/>
            <w:vAlign w:val="center"/>
          </w:tcPr>
          <w:p w14:paraId="0EEDFF40" w14:textId="77777777" w:rsidR="00893A07" w:rsidRPr="004A592F" w:rsidRDefault="00893A07" w:rsidP="00A22B8F">
            <w:pPr>
              <w:spacing w:after="0" w:line="240" w:lineRule="auto"/>
              <w:ind w:right="388"/>
              <w:jc w:val="right"/>
              <w:rPr>
                <w:rFonts w:ascii="Times New Roman" w:eastAsia="Times New Roman" w:hAnsi="Times New Roman"/>
                <w:lang w:val="en-US"/>
              </w:rPr>
            </w:pPr>
            <w:r w:rsidRPr="004A592F">
              <w:rPr>
                <w:rFonts w:ascii="Times New Roman" w:eastAsia="Times New Roman" w:hAnsi="Times New Roman"/>
                <w:lang w:val="en-US"/>
              </w:rPr>
              <w:t>78</w:t>
            </w:r>
            <w:r w:rsidR="00F327B4" w:rsidRPr="004A592F">
              <w:rPr>
                <w:rFonts w:ascii="Times New Roman" w:eastAsia="Times New Roman" w:hAnsi="Times New Roman"/>
                <w:lang w:val="en-US"/>
              </w:rPr>
              <w:t>.</w:t>
            </w:r>
            <w:r w:rsidRPr="004A592F">
              <w:rPr>
                <w:rFonts w:ascii="Times New Roman" w:eastAsia="Times New Roman" w:hAnsi="Times New Roman"/>
                <w:lang w:val="en-US"/>
              </w:rPr>
              <w:t>64</w:t>
            </w:r>
          </w:p>
        </w:tc>
        <w:tc>
          <w:tcPr>
            <w:tcW w:w="1515" w:type="dxa"/>
            <w:shd w:val="clear" w:color="auto" w:fill="auto"/>
            <w:noWrap/>
            <w:vAlign w:val="center"/>
          </w:tcPr>
          <w:p w14:paraId="5B65EDE0" w14:textId="77777777" w:rsidR="00893A07" w:rsidRPr="004A592F" w:rsidRDefault="00893A07" w:rsidP="00A22B8F">
            <w:pPr>
              <w:spacing w:after="0" w:line="240" w:lineRule="auto"/>
              <w:ind w:right="343"/>
              <w:jc w:val="right"/>
              <w:rPr>
                <w:rFonts w:ascii="Times New Roman" w:eastAsia="Times New Roman" w:hAnsi="Times New Roman"/>
                <w:lang w:val="en-US"/>
              </w:rPr>
            </w:pPr>
            <w:r w:rsidRPr="004A592F">
              <w:rPr>
                <w:rFonts w:ascii="Times New Roman" w:eastAsia="Times New Roman" w:hAnsi="Times New Roman"/>
                <w:lang w:val="en-US"/>
              </w:rPr>
              <w:t>40</w:t>
            </w:r>
            <w:r w:rsidR="00F327B4" w:rsidRPr="004A592F">
              <w:rPr>
                <w:rFonts w:ascii="Times New Roman" w:eastAsia="Times New Roman" w:hAnsi="Times New Roman"/>
                <w:lang w:val="en-US"/>
              </w:rPr>
              <w:t>.</w:t>
            </w:r>
            <w:r w:rsidRPr="004A592F">
              <w:rPr>
                <w:rFonts w:ascii="Times New Roman" w:eastAsia="Times New Roman" w:hAnsi="Times New Roman"/>
                <w:lang w:val="en-US"/>
              </w:rPr>
              <w:t>86</w:t>
            </w:r>
          </w:p>
        </w:tc>
        <w:tc>
          <w:tcPr>
            <w:tcW w:w="1488" w:type="dxa"/>
            <w:shd w:val="clear" w:color="auto" w:fill="auto"/>
            <w:noWrap/>
            <w:vAlign w:val="center"/>
          </w:tcPr>
          <w:p w14:paraId="706389FB" w14:textId="77777777" w:rsidR="00893A07" w:rsidRPr="004A592F" w:rsidRDefault="00893A07" w:rsidP="00F327B4">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0</w:t>
            </w:r>
            <w:r w:rsidR="00F327B4" w:rsidRPr="004A592F">
              <w:rPr>
                <w:rFonts w:ascii="Times New Roman" w:eastAsia="Times New Roman" w:hAnsi="Times New Roman"/>
                <w:lang w:val="en-US"/>
              </w:rPr>
              <w:t>.</w:t>
            </w:r>
            <w:r w:rsidRPr="004A592F">
              <w:rPr>
                <w:rFonts w:ascii="Times New Roman" w:eastAsia="Times New Roman" w:hAnsi="Times New Roman"/>
                <w:lang w:val="en-US"/>
              </w:rPr>
              <w:t>29</w:t>
            </w:r>
          </w:p>
        </w:tc>
      </w:tr>
      <w:tr w:rsidR="00893A07" w:rsidRPr="004A592F" w14:paraId="1095E058" w14:textId="77777777" w:rsidTr="001F5676">
        <w:trPr>
          <w:gridAfter w:val="1"/>
          <w:wAfter w:w="7" w:type="dxa"/>
          <w:trHeight w:val="289"/>
        </w:trPr>
        <w:tc>
          <w:tcPr>
            <w:tcW w:w="2269" w:type="dxa"/>
            <w:shd w:val="clear" w:color="auto" w:fill="auto"/>
            <w:vAlign w:val="center"/>
          </w:tcPr>
          <w:p w14:paraId="6FCAD0B6" w14:textId="77777777" w:rsidR="00893A07" w:rsidRPr="004A592F" w:rsidRDefault="00893A07" w:rsidP="00A22B8F">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ІІ – 1</w:t>
            </w:r>
          </w:p>
        </w:tc>
        <w:tc>
          <w:tcPr>
            <w:tcW w:w="1011" w:type="dxa"/>
            <w:vAlign w:val="center"/>
          </w:tcPr>
          <w:p w14:paraId="52B5C828" w14:textId="77777777" w:rsidR="00893A07" w:rsidRPr="004A592F" w:rsidRDefault="00893A07" w:rsidP="00A22B8F">
            <w:pPr>
              <w:spacing w:after="0" w:line="240" w:lineRule="auto"/>
              <w:ind w:right="113"/>
              <w:jc w:val="right"/>
              <w:rPr>
                <w:rFonts w:ascii="Times New Roman" w:eastAsia="Times New Roman" w:hAnsi="Times New Roman"/>
                <w:lang w:val="en-US"/>
              </w:rPr>
            </w:pPr>
            <w:r w:rsidRPr="004A592F">
              <w:rPr>
                <w:rFonts w:ascii="Times New Roman" w:eastAsia="Times New Roman" w:hAnsi="Times New Roman"/>
                <w:lang w:val="en-US"/>
              </w:rPr>
              <w:t>121</w:t>
            </w:r>
            <w:r w:rsidR="00B774D9" w:rsidRPr="004A592F">
              <w:rPr>
                <w:rFonts w:ascii="Times New Roman" w:eastAsia="Times New Roman" w:hAnsi="Times New Roman"/>
                <w:lang w:val="en-US"/>
              </w:rPr>
              <w:t>.</w:t>
            </w:r>
            <w:r w:rsidRPr="004A592F">
              <w:rPr>
                <w:rFonts w:ascii="Times New Roman" w:eastAsia="Times New Roman" w:hAnsi="Times New Roman"/>
                <w:lang w:val="en-US"/>
              </w:rPr>
              <w:t>91</w:t>
            </w:r>
          </w:p>
        </w:tc>
        <w:tc>
          <w:tcPr>
            <w:tcW w:w="1677" w:type="dxa"/>
            <w:vMerge w:val="restart"/>
            <w:vAlign w:val="center"/>
          </w:tcPr>
          <w:p w14:paraId="22CC920E" w14:textId="77777777" w:rsidR="00893A07" w:rsidRPr="004A592F" w:rsidRDefault="00893A07" w:rsidP="00B774D9">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97</w:t>
            </w:r>
            <w:r w:rsidR="00B774D9" w:rsidRPr="004A592F">
              <w:rPr>
                <w:rFonts w:ascii="Times New Roman" w:eastAsia="Times New Roman" w:hAnsi="Times New Roman"/>
                <w:lang w:val="en-US"/>
              </w:rPr>
              <w:t>.</w:t>
            </w:r>
            <w:r w:rsidRPr="004A592F">
              <w:rPr>
                <w:rFonts w:ascii="Times New Roman" w:eastAsia="Times New Roman" w:hAnsi="Times New Roman"/>
                <w:lang w:val="en-US"/>
              </w:rPr>
              <w:t>97</w:t>
            </w:r>
          </w:p>
        </w:tc>
        <w:tc>
          <w:tcPr>
            <w:tcW w:w="1608" w:type="dxa"/>
            <w:shd w:val="clear" w:color="auto" w:fill="auto"/>
            <w:noWrap/>
            <w:vAlign w:val="center"/>
          </w:tcPr>
          <w:p w14:paraId="1D0BEFAA" w14:textId="77777777" w:rsidR="00893A07" w:rsidRPr="004A592F" w:rsidRDefault="00893A07" w:rsidP="00A22B8F">
            <w:pPr>
              <w:spacing w:after="0" w:line="240" w:lineRule="auto"/>
              <w:ind w:right="388"/>
              <w:jc w:val="right"/>
              <w:rPr>
                <w:rFonts w:ascii="Times New Roman" w:eastAsia="Times New Roman" w:hAnsi="Times New Roman"/>
                <w:lang w:val="en-US"/>
              </w:rPr>
            </w:pPr>
            <w:r w:rsidRPr="004A592F">
              <w:rPr>
                <w:rFonts w:ascii="Times New Roman" w:eastAsia="Times New Roman" w:hAnsi="Times New Roman"/>
                <w:lang w:val="en-US"/>
              </w:rPr>
              <w:t>14</w:t>
            </w:r>
            <w:r w:rsidR="00F327B4" w:rsidRPr="004A592F">
              <w:rPr>
                <w:rFonts w:ascii="Times New Roman" w:eastAsia="Times New Roman" w:hAnsi="Times New Roman"/>
                <w:lang w:val="en-US"/>
              </w:rPr>
              <w:t>.</w:t>
            </w:r>
            <w:r w:rsidRPr="004A592F">
              <w:rPr>
                <w:rFonts w:ascii="Times New Roman" w:eastAsia="Times New Roman" w:hAnsi="Times New Roman"/>
                <w:lang w:val="en-US"/>
              </w:rPr>
              <w:t>29</w:t>
            </w:r>
          </w:p>
        </w:tc>
        <w:tc>
          <w:tcPr>
            <w:tcW w:w="1515" w:type="dxa"/>
            <w:shd w:val="clear" w:color="auto" w:fill="auto"/>
            <w:noWrap/>
            <w:vAlign w:val="center"/>
          </w:tcPr>
          <w:p w14:paraId="6DF618A8" w14:textId="77777777" w:rsidR="00893A07" w:rsidRPr="004A592F" w:rsidRDefault="00893A07" w:rsidP="00A22B8F">
            <w:pPr>
              <w:spacing w:after="0" w:line="240" w:lineRule="auto"/>
              <w:ind w:right="343"/>
              <w:jc w:val="right"/>
              <w:rPr>
                <w:rFonts w:ascii="Times New Roman" w:eastAsia="Times New Roman" w:hAnsi="Times New Roman"/>
                <w:lang w:val="en-US"/>
              </w:rPr>
            </w:pPr>
            <w:r w:rsidRPr="004A592F">
              <w:rPr>
                <w:rFonts w:ascii="Times New Roman" w:eastAsia="Times New Roman" w:hAnsi="Times New Roman"/>
                <w:lang w:val="en-US"/>
              </w:rPr>
              <w:t>16</w:t>
            </w:r>
            <w:r w:rsidR="00F327B4" w:rsidRPr="004A592F">
              <w:rPr>
                <w:rFonts w:ascii="Times New Roman" w:eastAsia="Times New Roman" w:hAnsi="Times New Roman"/>
                <w:lang w:val="en-US"/>
              </w:rPr>
              <w:t>.</w:t>
            </w:r>
            <w:r w:rsidRPr="004A592F">
              <w:rPr>
                <w:rFonts w:ascii="Times New Roman" w:eastAsia="Times New Roman" w:hAnsi="Times New Roman"/>
                <w:lang w:val="en-US"/>
              </w:rPr>
              <w:t>17</w:t>
            </w:r>
          </w:p>
        </w:tc>
        <w:tc>
          <w:tcPr>
            <w:tcW w:w="1488" w:type="dxa"/>
            <w:shd w:val="clear" w:color="auto" w:fill="auto"/>
            <w:noWrap/>
            <w:vAlign w:val="center"/>
          </w:tcPr>
          <w:p w14:paraId="151CE550" w14:textId="77777777" w:rsidR="00893A07" w:rsidRPr="004A592F" w:rsidRDefault="00893A07" w:rsidP="00F327B4">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0</w:t>
            </w:r>
            <w:r w:rsidR="00F327B4" w:rsidRPr="004A592F">
              <w:rPr>
                <w:rFonts w:ascii="Times New Roman" w:eastAsia="Times New Roman" w:hAnsi="Times New Roman"/>
                <w:lang w:val="en-US"/>
              </w:rPr>
              <w:t>.</w:t>
            </w:r>
            <w:r w:rsidRPr="004A592F">
              <w:rPr>
                <w:rFonts w:ascii="Times New Roman" w:eastAsia="Times New Roman" w:hAnsi="Times New Roman"/>
                <w:lang w:val="en-US"/>
              </w:rPr>
              <w:t>21</w:t>
            </w:r>
          </w:p>
        </w:tc>
      </w:tr>
      <w:tr w:rsidR="00893A07" w:rsidRPr="004A592F" w14:paraId="24E034B3" w14:textId="77777777" w:rsidTr="001F5676">
        <w:trPr>
          <w:gridAfter w:val="1"/>
          <w:wAfter w:w="7" w:type="dxa"/>
          <w:trHeight w:val="289"/>
        </w:trPr>
        <w:tc>
          <w:tcPr>
            <w:tcW w:w="2269" w:type="dxa"/>
            <w:shd w:val="clear" w:color="auto" w:fill="auto"/>
            <w:vAlign w:val="center"/>
          </w:tcPr>
          <w:p w14:paraId="60CC3EDF" w14:textId="77777777" w:rsidR="00893A07" w:rsidRPr="004A592F" w:rsidRDefault="00893A07" w:rsidP="00A22B8F">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ІІ – 2</w:t>
            </w:r>
          </w:p>
        </w:tc>
        <w:tc>
          <w:tcPr>
            <w:tcW w:w="1011" w:type="dxa"/>
            <w:vAlign w:val="center"/>
          </w:tcPr>
          <w:p w14:paraId="1694E5FA" w14:textId="77777777" w:rsidR="00893A07" w:rsidRPr="004A592F" w:rsidRDefault="00893A07" w:rsidP="00A22B8F">
            <w:pPr>
              <w:spacing w:after="0" w:line="240" w:lineRule="auto"/>
              <w:ind w:right="113"/>
              <w:jc w:val="right"/>
              <w:rPr>
                <w:rFonts w:ascii="Times New Roman" w:eastAsia="Times New Roman" w:hAnsi="Times New Roman"/>
                <w:lang w:val="en-US"/>
              </w:rPr>
            </w:pPr>
            <w:r w:rsidRPr="004A592F">
              <w:rPr>
                <w:rFonts w:ascii="Times New Roman" w:eastAsia="Times New Roman" w:hAnsi="Times New Roman"/>
                <w:lang w:val="en-US"/>
              </w:rPr>
              <w:t>117</w:t>
            </w:r>
            <w:r w:rsidR="00B774D9" w:rsidRPr="004A592F">
              <w:rPr>
                <w:rFonts w:ascii="Times New Roman" w:eastAsia="Times New Roman" w:hAnsi="Times New Roman"/>
                <w:lang w:val="en-US"/>
              </w:rPr>
              <w:t>.</w:t>
            </w:r>
            <w:r w:rsidRPr="004A592F">
              <w:rPr>
                <w:rFonts w:ascii="Times New Roman" w:eastAsia="Times New Roman" w:hAnsi="Times New Roman"/>
                <w:lang w:val="en-US"/>
              </w:rPr>
              <w:t>99</w:t>
            </w:r>
          </w:p>
        </w:tc>
        <w:tc>
          <w:tcPr>
            <w:tcW w:w="1677" w:type="dxa"/>
            <w:vMerge/>
            <w:vAlign w:val="center"/>
          </w:tcPr>
          <w:p w14:paraId="6947700D" w14:textId="77777777" w:rsidR="00893A07" w:rsidRPr="004A592F" w:rsidRDefault="00893A07" w:rsidP="00893A07">
            <w:pPr>
              <w:spacing w:after="0" w:line="240" w:lineRule="auto"/>
              <w:jc w:val="center"/>
              <w:rPr>
                <w:rFonts w:ascii="Times New Roman" w:eastAsia="Times New Roman" w:hAnsi="Times New Roman"/>
                <w:lang w:val="en-US"/>
              </w:rPr>
            </w:pPr>
          </w:p>
        </w:tc>
        <w:tc>
          <w:tcPr>
            <w:tcW w:w="1608" w:type="dxa"/>
            <w:shd w:val="clear" w:color="auto" w:fill="auto"/>
            <w:noWrap/>
            <w:vAlign w:val="center"/>
          </w:tcPr>
          <w:p w14:paraId="74A28074" w14:textId="77777777" w:rsidR="00893A07" w:rsidRPr="004A592F" w:rsidRDefault="00893A07" w:rsidP="00A22B8F">
            <w:pPr>
              <w:spacing w:after="0" w:line="240" w:lineRule="auto"/>
              <w:ind w:right="388"/>
              <w:jc w:val="right"/>
              <w:rPr>
                <w:rFonts w:ascii="Times New Roman" w:eastAsia="Times New Roman" w:hAnsi="Times New Roman"/>
                <w:lang w:val="en-US"/>
              </w:rPr>
            </w:pPr>
            <w:r w:rsidRPr="004A592F">
              <w:rPr>
                <w:rFonts w:ascii="Times New Roman" w:eastAsia="Times New Roman" w:hAnsi="Times New Roman"/>
                <w:lang w:val="en-US"/>
              </w:rPr>
              <w:t>18</w:t>
            </w:r>
            <w:r w:rsidR="00F327B4" w:rsidRPr="004A592F">
              <w:rPr>
                <w:rFonts w:ascii="Times New Roman" w:eastAsia="Times New Roman" w:hAnsi="Times New Roman"/>
                <w:lang w:val="en-US"/>
              </w:rPr>
              <w:t>.</w:t>
            </w:r>
            <w:r w:rsidRPr="004A592F">
              <w:rPr>
                <w:rFonts w:ascii="Times New Roman" w:eastAsia="Times New Roman" w:hAnsi="Times New Roman"/>
                <w:lang w:val="en-US"/>
              </w:rPr>
              <w:t>51</w:t>
            </w:r>
          </w:p>
        </w:tc>
        <w:tc>
          <w:tcPr>
            <w:tcW w:w="1515" w:type="dxa"/>
            <w:shd w:val="clear" w:color="auto" w:fill="auto"/>
            <w:noWrap/>
            <w:vAlign w:val="center"/>
          </w:tcPr>
          <w:p w14:paraId="1926EB43" w14:textId="77777777" w:rsidR="00893A07" w:rsidRPr="004A592F" w:rsidRDefault="00893A07" w:rsidP="00A22B8F">
            <w:pPr>
              <w:spacing w:after="0" w:line="240" w:lineRule="auto"/>
              <w:ind w:right="343"/>
              <w:jc w:val="right"/>
              <w:rPr>
                <w:rFonts w:ascii="Times New Roman" w:eastAsia="Times New Roman" w:hAnsi="Times New Roman"/>
                <w:lang w:val="en-US"/>
              </w:rPr>
            </w:pPr>
            <w:r w:rsidRPr="004A592F">
              <w:rPr>
                <w:rFonts w:ascii="Times New Roman" w:eastAsia="Times New Roman" w:hAnsi="Times New Roman"/>
                <w:lang w:val="en-US"/>
              </w:rPr>
              <w:t>18</w:t>
            </w:r>
            <w:r w:rsidR="00F327B4" w:rsidRPr="004A592F">
              <w:rPr>
                <w:rFonts w:ascii="Times New Roman" w:eastAsia="Times New Roman" w:hAnsi="Times New Roman"/>
                <w:lang w:val="en-US"/>
              </w:rPr>
              <w:t>.</w:t>
            </w:r>
            <w:r w:rsidRPr="004A592F">
              <w:rPr>
                <w:rFonts w:ascii="Times New Roman" w:eastAsia="Times New Roman" w:hAnsi="Times New Roman"/>
                <w:lang w:val="en-US"/>
              </w:rPr>
              <w:t>58</w:t>
            </w:r>
          </w:p>
        </w:tc>
        <w:tc>
          <w:tcPr>
            <w:tcW w:w="1488" w:type="dxa"/>
            <w:shd w:val="clear" w:color="auto" w:fill="auto"/>
            <w:noWrap/>
            <w:vAlign w:val="center"/>
          </w:tcPr>
          <w:p w14:paraId="051C2C68" w14:textId="77777777" w:rsidR="00893A07" w:rsidRPr="004A592F" w:rsidRDefault="00893A07" w:rsidP="00F327B4">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0</w:t>
            </w:r>
            <w:r w:rsidR="00F327B4" w:rsidRPr="004A592F">
              <w:rPr>
                <w:rFonts w:ascii="Times New Roman" w:eastAsia="Times New Roman" w:hAnsi="Times New Roman"/>
                <w:lang w:val="en-US"/>
              </w:rPr>
              <w:t>.</w:t>
            </w:r>
            <w:r w:rsidRPr="004A592F">
              <w:rPr>
                <w:rFonts w:ascii="Times New Roman" w:eastAsia="Times New Roman" w:hAnsi="Times New Roman"/>
                <w:lang w:val="en-US"/>
              </w:rPr>
              <w:t>15</w:t>
            </w:r>
          </w:p>
        </w:tc>
      </w:tr>
      <w:tr w:rsidR="00893A07" w:rsidRPr="004A592F" w14:paraId="7C2CF1D0" w14:textId="77777777" w:rsidTr="001F5676">
        <w:trPr>
          <w:gridAfter w:val="1"/>
          <w:wAfter w:w="7" w:type="dxa"/>
          <w:trHeight w:val="289"/>
        </w:trPr>
        <w:tc>
          <w:tcPr>
            <w:tcW w:w="2269" w:type="dxa"/>
            <w:shd w:val="clear" w:color="auto" w:fill="auto"/>
            <w:vAlign w:val="center"/>
          </w:tcPr>
          <w:p w14:paraId="4852833B" w14:textId="77777777" w:rsidR="00893A07" w:rsidRPr="004A592F" w:rsidRDefault="00893A07" w:rsidP="00A22B8F">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ІІ – 3</w:t>
            </w:r>
          </w:p>
        </w:tc>
        <w:tc>
          <w:tcPr>
            <w:tcW w:w="1011" w:type="dxa"/>
            <w:vAlign w:val="center"/>
          </w:tcPr>
          <w:p w14:paraId="20813DDC" w14:textId="77777777" w:rsidR="00893A07" w:rsidRPr="004A592F" w:rsidRDefault="00893A07" w:rsidP="00A22B8F">
            <w:pPr>
              <w:spacing w:after="0" w:line="240" w:lineRule="auto"/>
              <w:ind w:right="113"/>
              <w:jc w:val="right"/>
              <w:rPr>
                <w:rFonts w:ascii="Times New Roman" w:eastAsia="Times New Roman" w:hAnsi="Times New Roman"/>
                <w:lang w:val="en-US"/>
              </w:rPr>
            </w:pPr>
            <w:r w:rsidRPr="004A592F">
              <w:rPr>
                <w:rFonts w:ascii="Times New Roman" w:eastAsia="Times New Roman" w:hAnsi="Times New Roman"/>
                <w:lang w:val="en-US"/>
              </w:rPr>
              <w:t>41</w:t>
            </w:r>
            <w:r w:rsidR="00B774D9" w:rsidRPr="004A592F">
              <w:rPr>
                <w:rFonts w:ascii="Times New Roman" w:eastAsia="Times New Roman" w:hAnsi="Times New Roman"/>
                <w:lang w:val="en-US"/>
              </w:rPr>
              <w:t>.</w:t>
            </w:r>
            <w:r w:rsidRPr="004A592F">
              <w:rPr>
                <w:rFonts w:ascii="Times New Roman" w:eastAsia="Times New Roman" w:hAnsi="Times New Roman"/>
                <w:lang w:val="en-US"/>
              </w:rPr>
              <w:t>15</w:t>
            </w:r>
          </w:p>
        </w:tc>
        <w:tc>
          <w:tcPr>
            <w:tcW w:w="1677" w:type="dxa"/>
            <w:vMerge/>
            <w:vAlign w:val="center"/>
          </w:tcPr>
          <w:p w14:paraId="192EE915" w14:textId="77777777" w:rsidR="00893A07" w:rsidRPr="004A592F" w:rsidRDefault="00893A07" w:rsidP="00893A07">
            <w:pPr>
              <w:spacing w:after="0" w:line="240" w:lineRule="auto"/>
              <w:jc w:val="center"/>
              <w:rPr>
                <w:rFonts w:ascii="Times New Roman" w:eastAsia="Times New Roman" w:hAnsi="Times New Roman"/>
                <w:lang w:val="en-US"/>
              </w:rPr>
            </w:pPr>
          </w:p>
        </w:tc>
        <w:tc>
          <w:tcPr>
            <w:tcW w:w="1608" w:type="dxa"/>
            <w:shd w:val="clear" w:color="auto" w:fill="auto"/>
            <w:noWrap/>
            <w:vAlign w:val="center"/>
          </w:tcPr>
          <w:p w14:paraId="37B07B09" w14:textId="77777777" w:rsidR="00893A07" w:rsidRPr="004A592F" w:rsidRDefault="00893A07" w:rsidP="00A22B8F">
            <w:pPr>
              <w:spacing w:after="0" w:line="240" w:lineRule="auto"/>
              <w:ind w:right="388"/>
              <w:jc w:val="right"/>
              <w:rPr>
                <w:rFonts w:ascii="Times New Roman" w:eastAsia="Times New Roman" w:hAnsi="Times New Roman"/>
                <w:lang w:val="en-US"/>
              </w:rPr>
            </w:pPr>
            <w:r w:rsidRPr="004A592F">
              <w:rPr>
                <w:rFonts w:ascii="Times New Roman" w:eastAsia="Times New Roman" w:hAnsi="Times New Roman"/>
                <w:lang w:val="en-US"/>
              </w:rPr>
              <w:t>55</w:t>
            </w:r>
            <w:r w:rsidR="00F327B4" w:rsidRPr="004A592F">
              <w:rPr>
                <w:rFonts w:ascii="Times New Roman" w:eastAsia="Times New Roman" w:hAnsi="Times New Roman"/>
                <w:lang w:val="en-US"/>
              </w:rPr>
              <w:t>.</w:t>
            </w:r>
            <w:r w:rsidRPr="004A592F">
              <w:rPr>
                <w:rFonts w:ascii="Times New Roman" w:eastAsia="Times New Roman" w:hAnsi="Times New Roman"/>
                <w:lang w:val="en-US"/>
              </w:rPr>
              <w:t>63</w:t>
            </w:r>
          </w:p>
        </w:tc>
        <w:tc>
          <w:tcPr>
            <w:tcW w:w="1515" w:type="dxa"/>
            <w:shd w:val="clear" w:color="auto" w:fill="auto"/>
            <w:noWrap/>
            <w:vAlign w:val="center"/>
          </w:tcPr>
          <w:p w14:paraId="086CC8C9" w14:textId="58EFBFA5" w:rsidR="00893A07" w:rsidRPr="004A592F" w:rsidRDefault="00893A07" w:rsidP="00A22B8F">
            <w:pPr>
              <w:spacing w:after="0" w:line="240" w:lineRule="auto"/>
              <w:ind w:right="343"/>
              <w:jc w:val="right"/>
              <w:rPr>
                <w:rFonts w:ascii="Times New Roman" w:eastAsia="Times New Roman" w:hAnsi="Times New Roman"/>
                <w:lang w:val="en-US"/>
              </w:rPr>
            </w:pPr>
            <w:r w:rsidRPr="004A592F">
              <w:rPr>
                <w:rFonts w:ascii="Times New Roman" w:eastAsia="Times New Roman" w:hAnsi="Times New Roman"/>
                <w:lang w:val="en-US"/>
              </w:rPr>
              <w:t>4</w:t>
            </w:r>
            <w:r w:rsidR="00F327B4" w:rsidRPr="004A592F">
              <w:rPr>
                <w:rFonts w:ascii="Times New Roman" w:eastAsia="Times New Roman" w:hAnsi="Times New Roman"/>
                <w:lang w:val="en-US"/>
              </w:rPr>
              <w:t>.</w:t>
            </w:r>
            <w:r w:rsidRPr="004A592F">
              <w:rPr>
                <w:rFonts w:ascii="Times New Roman" w:eastAsia="Times New Roman" w:hAnsi="Times New Roman"/>
                <w:lang w:val="en-US"/>
              </w:rPr>
              <w:t>56</w:t>
            </w:r>
          </w:p>
        </w:tc>
        <w:tc>
          <w:tcPr>
            <w:tcW w:w="1488" w:type="dxa"/>
            <w:shd w:val="clear" w:color="auto" w:fill="auto"/>
            <w:noWrap/>
            <w:vAlign w:val="center"/>
          </w:tcPr>
          <w:p w14:paraId="505F898E" w14:textId="77777777" w:rsidR="00893A07" w:rsidRPr="004A592F" w:rsidRDefault="00893A07" w:rsidP="00F327B4">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1</w:t>
            </w:r>
            <w:r w:rsidR="00F327B4" w:rsidRPr="004A592F">
              <w:rPr>
                <w:rFonts w:ascii="Times New Roman" w:eastAsia="Times New Roman" w:hAnsi="Times New Roman"/>
                <w:lang w:val="en-US"/>
              </w:rPr>
              <w:t>.</w:t>
            </w:r>
            <w:r w:rsidRPr="004A592F">
              <w:rPr>
                <w:rFonts w:ascii="Times New Roman" w:eastAsia="Times New Roman" w:hAnsi="Times New Roman"/>
                <w:lang w:val="en-US"/>
              </w:rPr>
              <w:t>64</w:t>
            </w:r>
          </w:p>
        </w:tc>
      </w:tr>
      <w:tr w:rsidR="00893A07" w:rsidRPr="004A592F" w14:paraId="1A6B32BF" w14:textId="77777777" w:rsidTr="001F5676">
        <w:trPr>
          <w:gridAfter w:val="1"/>
          <w:wAfter w:w="7" w:type="dxa"/>
          <w:trHeight w:val="289"/>
        </w:trPr>
        <w:tc>
          <w:tcPr>
            <w:tcW w:w="2269" w:type="dxa"/>
            <w:shd w:val="clear" w:color="auto" w:fill="auto"/>
            <w:vAlign w:val="center"/>
          </w:tcPr>
          <w:p w14:paraId="6345A19C" w14:textId="77777777" w:rsidR="00893A07" w:rsidRPr="004A592F" w:rsidRDefault="00893A07" w:rsidP="00A22B8F">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ІІI – 1</w:t>
            </w:r>
          </w:p>
        </w:tc>
        <w:tc>
          <w:tcPr>
            <w:tcW w:w="1011" w:type="dxa"/>
            <w:vAlign w:val="center"/>
          </w:tcPr>
          <w:p w14:paraId="0155D0FE" w14:textId="77777777" w:rsidR="00893A07" w:rsidRPr="004A592F" w:rsidRDefault="00893A07" w:rsidP="00A22B8F">
            <w:pPr>
              <w:spacing w:after="0" w:line="240" w:lineRule="auto"/>
              <w:ind w:right="113"/>
              <w:jc w:val="right"/>
              <w:rPr>
                <w:rFonts w:ascii="Times New Roman" w:eastAsia="Times New Roman" w:hAnsi="Times New Roman"/>
                <w:lang w:val="en-US"/>
              </w:rPr>
            </w:pPr>
            <w:r w:rsidRPr="004A592F">
              <w:rPr>
                <w:rFonts w:ascii="Times New Roman" w:eastAsia="Times New Roman" w:hAnsi="Times New Roman"/>
                <w:lang w:val="en-US"/>
              </w:rPr>
              <w:t>77</w:t>
            </w:r>
            <w:r w:rsidR="00B774D9" w:rsidRPr="004A592F">
              <w:rPr>
                <w:rFonts w:ascii="Times New Roman" w:eastAsia="Times New Roman" w:hAnsi="Times New Roman"/>
                <w:lang w:val="en-US"/>
              </w:rPr>
              <w:t>.</w:t>
            </w:r>
            <w:r w:rsidRPr="004A592F">
              <w:rPr>
                <w:rFonts w:ascii="Times New Roman" w:eastAsia="Times New Roman" w:hAnsi="Times New Roman"/>
                <w:lang w:val="en-US"/>
              </w:rPr>
              <w:t>11</w:t>
            </w:r>
          </w:p>
        </w:tc>
        <w:tc>
          <w:tcPr>
            <w:tcW w:w="1677" w:type="dxa"/>
            <w:vMerge w:val="restart"/>
            <w:vAlign w:val="center"/>
          </w:tcPr>
          <w:p w14:paraId="543F424A" w14:textId="77777777" w:rsidR="00893A07" w:rsidRPr="004A592F" w:rsidRDefault="00893A07" w:rsidP="00B774D9">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149</w:t>
            </w:r>
            <w:r w:rsidR="00B774D9" w:rsidRPr="004A592F">
              <w:rPr>
                <w:rFonts w:ascii="Times New Roman" w:eastAsia="Times New Roman" w:hAnsi="Times New Roman"/>
                <w:lang w:val="en-US"/>
              </w:rPr>
              <w:t>.</w:t>
            </w:r>
            <w:r w:rsidRPr="004A592F">
              <w:rPr>
                <w:rFonts w:ascii="Times New Roman" w:eastAsia="Times New Roman" w:hAnsi="Times New Roman"/>
                <w:lang w:val="en-US"/>
              </w:rPr>
              <w:t>19</w:t>
            </w:r>
          </w:p>
        </w:tc>
        <w:tc>
          <w:tcPr>
            <w:tcW w:w="1608" w:type="dxa"/>
            <w:shd w:val="clear" w:color="auto" w:fill="auto"/>
            <w:noWrap/>
            <w:vAlign w:val="center"/>
          </w:tcPr>
          <w:p w14:paraId="19DEFC8F" w14:textId="0097F6C9" w:rsidR="00893A07" w:rsidRPr="004A592F" w:rsidRDefault="00893A07" w:rsidP="00A22B8F">
            <w:pPr>
              <w:spacing w:after="0" w:line="240" w:lineRule="auto"/>
              <w:ind w:right="388"/>
              <w:jc w:val="right"/>
              <w:rPr>
                <w:rFonts w:ascii="Times New Roman" w:eastAsia="Times New Roman" w:hAnsi="Times New Roman"/>
                <w:lang w:val="en-US"/>
              </w:rPr>
            </w:pPr>
            <w:r w:rsidRPr="004A592F">
              <w:rPr>
                <w:rFonts w:ascii="Times New Roman" w:eastAsia="Times New Roman" w:hAnsi="Times New Roman"/>
                <w:lang w:val="en-US"/>
              </w:rPr>
              <w:t>6</w:t>
            </w:r>
            <w:r w:rsidR="00F327B4" w:rsidRPr="004A592F">
              <w:rPr>
                <w:rFonts w:ascii="Times New Roman" w:eastAsia="Times New Roman" w:hAnsi="Times New Roman"/>
                <w:lang w:val="en-US"/>
              </w:rPr>
              <w:t>.</w:t>
            </w:r>
            <w:r w:rsidRPr="004A592F">
              <w:rPr>
                <w:rFonts w:ascii="Times New Roman" w:eastAsia="Times New Roman" w:hAnsi="Times New Roman"/>
                <w:lang w:val="en-US"/>
              </w:rPr>
              <w:t>67</w:t>
            </w:r>
          </w:p>
        </w:tc>
        <w:tc>
          <w:tcPr>
            <w:tcW w:w="1515" w:type="dxa"/>
            <w:shd w:val="clear" w:color="auto" w:fill="auto"/>
            <w:noWrap/>
            <w:vAlign w:val="center"/>
          </w:tcPr>
          <w:p w14:paraId="1A8BB991" w14:textId="77777777" w:rsidR="00893A07" w:rsidRPr="004A592F" w:rsidRDefault="00893A07" w:rsidP="00A22B8F">
            <w:pPr>
              <w:spacing w:after="0" w:line="240" w:lineRule="auto"/>
              <w:ind w:right="343"/>
              <w:jc w:val="right"/>
              <w:rPr>
                <w:rFonts w:ascii="Times New Roman" w:eastAsia="Times New Roman" w:hAnsi="Times New Roman"/>
                <w:lang w:val="en-US"/>
              </w:rPr>
            </w:pPr>
            <w:r w:rsidRPr="004A592F">
              <w:rPr>
                <w:rFonts w:ascii="Times New Roman" w:eastAsia="Times New Roman" w:hAnsi="Times New Roman"/>
                <w:lang w:val="en-US"/>
              </w:rPr>
              <w:t>10</w:t>
            </w:r>
            <w:r w:rsidR="00F327B4" w:rsidRPr="004A592F">
              <w:rPr>
                <w:rFonts w:ascii="Times New Roman" w:eastAsia="Times New Roman" w:hAnsi="Times New Roman"/>
                <w:lang w:val="en-US"/>
              </w:rPr>
              <w:t>.</w:t>
            </w:r>
            <w:r w:rsidRPr="004A592F">
              <w:rPr>
                <w:rFonts w:ascii="Times New Roman" w:eastAsia="Times New Roman" w:hAnsi="Times New Roman"/>
                <w:lang w:val="en-US"/>
              </w:rPr>
              <w:t>23</w:t>
            </w:r>
          </w:p>
        </w:tc>
        <w:tc>
          <w:tcPr>
            <w:tcW w:w="1488" w:type="dxa"/>
            <w:shd w:val="clear" w:color="auto" w:fill="auto"/>
            <w:noWrap/>
            <w:vAlign w:val="center"/>
          </w:tcPr>
          <w:p w14:paraId="7D5AAB51" w14:textId="77777777" w:rsidR="00893A07" w:rsidRPr="004A592F" w:rsidRDefault="00893A07" w:rsidP="00F327B4">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0</w:t>
            </w:r>
            <w:r w:rsidR="00F327B4" w:rsidRPr="004A592F">
              <w:rPr>
                <w:rFonts w:ascii="Times New Roman" w:eastAsia="Times New Roman" w:hAnsi="Times New Roman"/>
                <w:lang w:val="en-US"/>
              </w:rPr>
              <w:t>.</w:t>
            </w:r>
            <w:r w:rsidRPr="004A592F">
              <w:rPr>
                <w:rFonts w:ascii="Times New Roman" w:eastAsia="Times New Roman" w:hAnsi="Times New Roman"/>
                <w:lang w:val="en-US"/>
              </w:rPr>
              <w:t>10</w:t>
            </w:r>
          </w:p>
        </w:tc>
      </w:tr>
      <w:tr w:rsidR="00893A07" w:rsidRPr="004A592F" w14:paraId="09E5E013" w14:textId="77777777" w:rsidTr="001F5676">
        <w:trPr>
          <w:gridAfter w:val="1"/>
          <w:wAfter w:w="7" w:type="dxa"/>
          <w:trHeight w:val="289"/>
        </w:trPr>
        <w:tc>
          <w:tcPr>
            <w:tcW w:w="2269" w:type="dxa"/>
            <w:shd w:val="clear" w:color="auto" w:fill="auto"/>
            <w:vAlign w:val="center"/>
          </w:tcPr>
          <w:p w14:paraId="1D8687A8" w14:textId="77777777" w:rsidR="00893A07" w:rsidRPr="004A592F" w:rsidRDefault="00893A07" w:rsidP="00A22B8F">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ІІІ – 2</w:t>
            </w:r>
          </w:p>
        </w:tc>
        <w:tc>
          <w:tcPr>
            <w:tcW w:w="1011" w:type="dxa"/>
            <w:vAlign w:val="center"/>
          </w:tcPr>
          <w:p w14:paraId="4D0EE955" w14:textId="77777777" w:rsidR="00893A07" w:rsidRPr="004A592F" w:rsidRDefault="00893A07" w:rsidP="00A22B8F">
            <w:pPr>
              <w:spacing w:after="0" w:line="240" w:lineRule="auto"/>
              <w:ind w:right="113"/>
              <w:jc w:val="right"/>
              <w:rPr>
                <w:rFonts w:ascii="Times New Roman" w:eastAsia="Times New Roman" w:hAnsi="Times New Roman"/>
                <w:lang w:val="en-US"/>
              </w:rPr>
            </w:pPr>
            <w:r w:rsidRPr="004A592F">
              <w:rPr>
                <w:rFonts w:ascii="Times New Roman" w:eastAsia="Times New Roman" w:hAnsi="Times New Roman"/>
                <w:lang w:val="en-US"/>
              </w:rPr>
              <w:t>92</w:t>
            </w:r>
            <w:r w:rsidR="00B774D9" w:rsidRPr="004A592F">
              <w:rPr>
                <w:rFonts w:ascii="Times New Roman" w:eastAsia="Times New Roman" w:hAnsi="Times New Roman"/>
                <w:lang w:val="en-US"/>
              </w:rPr>
              <w:t>.</w:t>
            </w:r>
            <w:r w:rsidRPr="004A592F">
              <w:rPr>
                <w:rFonts w:ascii="Times New Roman" w:eastAsia="Times New Roman" w:hAnsi="Times New Roman"/>
                <w:lang w:val="en-US"/>
              </w:rPr>
              <w:t>44</w:t>
            </w:r>
          </w:p>
        </w:tc>
        <w:tc>
          <w:tcPr>
            <w:tcW w:w="1677" w:type="dxa"/>
            <w:vMerge/>
            <w:vAlign w:val="center"/>
          </w:tcPr>
          <w:p w14:paraId="501A4FA6" w14:textId="77777777" w:rsidR="00893A07" w:rsidRPr="004A592F" w:rsidRDefault="00893A07" w:rsidP="00893A07">
            <w:pPr>
              <w:spacing w:after="0" w:line="240" w:lineRule="auto"/>
              <w:jc w:val="center"/>
              <w:rPr>
                <w:rFonts w:ascii="Times New Roman" w:eastAsia="Times New Roman" w:hAnsi="Times New Roman"/>
                <w:lang w:val="en-US"/>
              </w:rPr>
            </w:pPr>
          </w:p>
        </w:tc>
        <w:tc>
          <w:tcPr>
            <w:tcW w:w="1608" w:type="dxa"/>
            <w:shd w:val="clear" w:color="auto" w:fill="auto"/>
            <w:noWrap/>
            <w:vAlign w:val="center"/>
          </w:tcPr>
          <w:p w14:paraId="1C6E711E" w14:textId="77777777" w:rsidR="00893A07" w:rsidRPr="004A592F" w:rsidRDefault="00893A07" w:rsidP="00A22B8F">
            <w:pPr>
              <w:spacing w:after="0" w:line="240" w:lineRule="auto"/>
              <w:ind w:right="388"/>
              <w:jc w:val="right"/>
              <w:rPr>
                <w:rFonts w:ascii="Times New Roman" w:eastAsia="Times New Roman" w:hAnsi="Times New Roman"/>
                <w:lang w:val="en-US"/>
              </w:rPr>
            </w:pPr>
            <w:r w:rsidRPr="004A592F">
              <w:rPr>
                <w:rFonts w:ascii="Times New Roman" w:eastAsia="Times New Roman" w:hAnsi="Times New Roman"/>
                <w:lang w:val="en-US"/>
              </w:rPr>
              <w:t>15</w:t>
            </w:r>
            <w:r w:rsidR="00F327B4" w:rsidRPr="004A592F">
              <w:rPr>
                <w:rFonts w:ascii="Times New Roman" w:eastAsia="Times New Roman" w:hAnsi="Times New Roman"/>
                <w:lang w:val="en-US"/>
              </w:rPr>
              <w:t>.</w:t>
            </w:r>
            <w:r w:rsidRPr="004A592F">
              <w:rPr>
                <w:rFonts w:ascii="Times New Roman" w:eastAsia="Times New Roman" w:hAnsi="Times New Roman"/>
                <w:lang w:val="en-US"/>
              </w:rPr>
              <w:t>93</w:t>
            </w:r>
          </w:p>
        </w:tc>
        <w:tc>
          <w:tcPr>
            <w:tcW w:w="1515" w:type="dxa"/>
            <w:shd w:val="clear" w:color="auto" w:fill="auto"/>
            <w:noWrap/>
            <w:vAlign w:val="center"/>
          </w:tcPr>
          <w:p w14:paraId="53F64F42" w14:textId="77777777" w:rsidR="00893A07" w:rsidRPr="004A592F" w:rsidRDefault="00893A07" w:rsidP="00A22B8F">
            <w:pPr>
              <w:spacing w:after="0" w:line="240" w:lineRule="auto"/>
              <w:ind w:right="343"/>
              <w:jc w:val="right"/>
              <w:rPr>
                <w:rFonts w:ascii="Times New Roman" w:eastAsia="Times New Roman" w:hAnsi="Times New Roman"/>
                <w:lang w:val="en-US"/>
              </w:rPr>
            </w:pPr>
            <w:r w:rsidRPr="004A592F">
              <w:rPr>
                <w:rFonts w:ascii="Times New Roman" w:eastAsia="Times New Roman" w:hAnsi="Times New Roman"/>
                <w:lang w:val="en-US"/>
              </w:rPr>
              <w:t>11</w:t>
            </w:r>
            <w:r w:rsidR="00F327B4" w:rsidRPr="004A592F">
              <w:rPr>
                <w:rFonts w:ascii="Times New Roman" w:eastAsia="Times New Roman" w:hAnsi="Times New Roman"/>
                <w:lang w:val="en-US"/>
              </w:rPr>
              <w:t>.</w:t>
            </w:r>
            <w:r w:rsidRPr="004A592F">
              <w:rPr>
                <w:rFonts w:ascii="Times New Roman" w:eastAsia="Times New Roman" w:hAnsi="Times New Roman"/>
                <w:lang w:val="en-US"/>
              </w:rPr>
              <w:t>98</w:t>
            </w:r>
          </w:p>
        </w:tc>
        <w:tc>
          <w:tcPr>
            <w:tcW w:w="1488" w:type="dxa"/>
            <w:shd w:val="clear" w:color="auto" w:fill="auto"/>
            <w:noWrap/>
            <w:vAlign w:val="center"/>
          </w:tcPr>
          <w:p w14:paraId="2B4B7C22" w14:textId="77777777" w:rsidR="00893A07" w:rsidRPr="004A592F" w:rsidRDefault="00893A07" w:rsidP="00F327B4">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0</w:t>
            </w:r>
            <w:r w:rsidR="00F327B4" w:rsidRPr="004A592F">
              <w:rPr>
                <w:rFonts w:ascii="Times New Roman" w:eastAsia="Times New Roman" w:hAnsi="Times New Roman"/>
                <w:lang w:val="en-US"/>
              </w:rPr>
              <w:t>.</w:t>
            </w:r>
            <w:r w:rsidRPr="004A592F">
              <w:rPr>
                <w:rFonts w:ascii="Times New Roman" w:eastAsia="Times New Roman" w:hAnsi="Times New Roman"/>
                <w:lang w:val="en-US"/>
              </w:rPr>
              <w:t>11</w:t>
            </w:r>
          </w:p>
        </w:tc>
      </w:tr>
      <w:tr w:rsidR="00893A07" w:rsidRPr="004A592F" w14:paraId="36219B6A" w14:textId="77777777" w:rsidTr="001F5676">
        <w:trPr>
          <w:gridAfter w:val="1"/>
          <w:wAfter w:w="7" w:type="dxa"/>
          <w:trHeight w:val="289"/>
        </w:trPr>
        <w:tc>
          <w:tcPr>
            <w:tcW w:w="2269" w:type="dxa"/>
            <w:shd w:val="clear" w:color="auto" w:fill="auto"/>
            <w:vAlign w:val="center"/>
          </w:tcPr>
          <w:p w14:paraId="52D1E376" w14:textId="77777777" w:rsidR="00893A07" w:rsidRPr="004A592F" w:rsidRDefault="00893A07" w:rsidP="00A22B8F">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ІІІ – 3</w:t>
            </w:r>
          </w:p>
        </w:tc>
        <w:tc>
          <w:tcPr>
            <w:tcW w:w="1011" w:type="dxa"/>
            <w:vAlign w:val="center"/>
          </w:tcPr>
          <w:p w14:paraId="5910064C" w14:textId="77777777" w:rsidR="00893A07" w:rsidRPr="004A592F" w:rsidRDefault="00893A07" w:rsidP="00A22B8F">
            <w:pPr>
              <w:spacing w:after="0" w:line="240" w:lineRule="auto"/>
              <w:ind w:right="113"/>
              <w:jc w:val="right"/>
              <w:rPr>
                <w:rFonts w:ascii="Times New Roman" w:eastAsia="Times New Roman" w:hAnsi="Times New Roman"/>
                <w:lang w:val="en-US"/>
              </w:rPr>
            </w:pPr>
            <w:r w:rsidRPr="004A592F">
              <w:rPr>
                <w:rFonts w:ascii="Times New Roman" w:eastAsia="Times New Roman" w:hAnsi="Times New Roman"/>
                <w:lang w:val="en-US"/>
              </w:rPr>
              <w:t>28</w:t>
            </w:r>
            <w:r w:rsidR="00B774D9" w:rsidRPr="004A592F">
              <w:rPr>
                <w:rFonts w:ascii="Times New Roman" w:eastAsia="Times New Roman" w:hAnsi="Times New Roman"/>
                <w:lang w:val="en-US"/>
              </w:rPr>
              <w:t>.</w:t>
            </w:r>
            <w:r w:rsidRPr="004A592F">
              <w:rPr>
                <w:rFonts w:ascii="Times New Roman" w:eastAsia="Times New Roman" w:hAnsi="Times New Roman"/>
                <w:lang w:val="en-US"/>
              </w:rPr>
              <w:t>51</w:t>
            </w:r>
          </w:p>
        </w:tc>
        <w:tc>
          <w:tcPr>
            <w:tcW w:w="1677" w:type="dxa"/>
            <w:vMerge/>
            <w:vAlign w:val="center"/>
          </w:tcPr>
          <w:p w14:paraId="56CE890B" w14:textId="77777777" w:rsidR="00893A07" w:rsidRPr="004A592F" w:rsidRDefault="00893A07" w:rsidP="00893A07">
            <w:pPr>
              <w:spacing w:after="0" w:line="240" w:lineRule="auto"/>
              <w:jc w:val="center"/>
              <w:rPr>
                <w:rFonts w:ascii="Times New Roman" w:eastAsia="Times New Roman" w:hAnsi="Times New Roman"/>
                <w:lang w:val="en-US"/>
              </w:rPr>
            </w:pPr>
          </w:p>
        </w:tc>
        <w:tc>
          <w:tcPr>
            <w:tcW w:w="1608" w:type="dxa"/>
            <w:shd w:val="clear" w:color="auto" w:fill="auto"/>
            <w:noWrap/>
            <w:vAlign w:val="center"/>
          </w:tcPr>
          <w:p w14:paraId="4C6C595D" w14:textId="77777777" w:rsidR="00893A07" w:rsidRPr="004A592F" w:rsidRDefault="00893A07" w:rsidP="00A22B8F">
            <w:pPr>
              <w:spacing w:after="0" w:line="240" w:lineRule="auto"/>
              <w:ind w:right="388"/>
              <w:jc w:val="right"/>
              <w:rPr>
                <w:rFonts w:ascii="Times New Roman" w:eastAsia="Times New Roman" w:hAnsi="Times New Roman"/>
                <w:lang w:val="en-US"/>
              </w:rPr>
            </w:pPr>
            <w:r w:rsidRPr="004A592F">
              <w:rPr>
                <w:rFonts w:ascii="Times New Roman" w:eastAsia="Times New Roman" w:hAnsi="Times New Roman"/>
                <w:lang w:val="en-US"/>
              </w:rPr>
              <w:t>54</w:t>
            </w:r>
            <w:r w:rsidR="00F327B4" w:rsidRPr="004A592F">
              <w:rPr>
                <w:rFonts w:ascii="Times New Roman" w:eastAsia="Times New Roman" w:hAnsi="Times New Roman"/>
                <w:lang w:val="en-US"/>
              </w:rPr>
              <w:t>.</w:t>
            </w:r>
            <w:r w:rsidRPr="004A592F">
              <w:rPr>
                <w:rFonts w:ascii="Times New Roman" w:eastAsia="Times New Roman" w:hAnsi="Times New Roman"/>
                <w:lang w:val="en-US"/>
              </w:rPr>
              <w:t>55</w:t>
            </w:r>
          </w:p>
        </w:tc>
        <w:tc>
          <w:tcPr>
            <w:tcW w:w="1515" w:type="dxa"/>
            <w:shd w:val="clear" w:color="auto" w:fill="auto"/>
            <w:noWrap/>
            <w:vAlign w:val="center"/>
          </w:tcPr>
          <w:p w14:paraId="73AD33FA" w14:textId="77777777" w:rsidR="00893A07" w:rsidRPr="004A592F" w:rsidRDefault="00893A07" w:rsidP="00A22B8F">
            <w:pPr>
              <w:spacing w:after="0" w:line="240" w:lineRule="auto"/>
              <w:ind w:right="343"/>
              <w:jc w:val="right"/>
              <w:rPr>
                <w:rFonts w:ascii="Times New Roman" w:eastAsia="Times New Roman" w:hAnsi="Times New Roman"/>
                <w:lang w:val="en-US"/>
              </w:rPr>
            </w:pPr>
            <w:r w:rsidRPr="004A592F">
              <w:rPr>
                <w:rFonts w:ascii="Times New Roman" w:eastAsia="Times New Roman" w:hAnsi="Times New Roman"/>
                <w:lang w:val="en-US"/>
              </w:rPr>
              <w:t>3</w:t>
            </w:r>
            <w:r w:rsidR="00F327B4" w:rsidRPr="004A592F">
              <w:rPr>
                <w:rFonts w:ascii="Times New Roman" w:eastAsia="Times New Roman" w:hAnsi="Times New Roman"/>
                <w:lang w:val="en-US"/>
              </w:rPr>
              <w:t>.</w:t>
            </w:r>
            <w:r w:rsidRPr="004A592F">
              <w:rPr>
                <w:rFonts w:ascii="Times New Roman" w:eastAsia="Times New Roman" w:hAnsi="Times New Roman"/>
                <w:lang w:val="en-US"/>
              </w:rPr>
              <w:t>16</w:t>
            </w:r>
          </w:p>
        </w:tc>
        <w:tc>
          <w:tcPr>
            <w:tcW w:w="1488" w:type="dxa"/>
            <w:shd w:val="clear" w:color="auto" w:fill="auto"/>
            <w:noWrap/>
            <w:vAlign w:val="center"/>
          </w:tcPr>
          <w:p w14:paraId="56AFECF0" w14:textId="77777777" w:rsidR="00893A07" w:rsidRPr="004A592F" w:rsidRDefault="00893A07" w:rsidP="00F327B4">
            <w:pPr>
              <w:spacing w:after="0" w:line="240" w:lineRule="auto"/>
              <w:jc w:val="center"/>
              <w:rPr>
                <w:rFonts w:ascii="Times New Roman" w:eastAsia="Times New Roman" w:hAnsi="Times New Roman"/>
                <w:lang w:val="en-US"/>
              </w:rPr>
            </w:pPr>
            <w:r w:rsidRPr="004A592F">
              <w:rPr>
                <w:rFonts w:ascii="Times New Roman" w:eastAsia="Times New Roman" w:hAnsi="Times New Roman"/>
                <w:lang w:val="en-US"/>
              </w:rPr>
              <w:t>1</w:t>
            </w:r>
            <w:r w:rsidR="00F327B4" w:rsidRPr="004A592F">
              <w:rPr>
                <w:rFonts w:ascii="Times New Roman" w:eastAsia="Times New Roman" w:hAnsi="Times New Roman"/>
                <w:lang w:val="en-US"/>
              </w:rPr>
              <w:t>.</w:t>
            </w:r>
            <w:r w:rsidRPr="004A592F">
              <w:rPr>
                <w:rFonts w:ascii="Times New Roman" w:eastAsia="Times New Roman" w:hAnsi="Times New Roman"/>
                <w:lang w:val="en-US"/>
              </w:rPr>
              <w:t>63</w:t>
            </w:r>
          </w:p>
        </w:tc>
      </w:tr>
    </w:tbl>
    <w:p w14:paraId="4253FE62" w14:textId="77777777" w:rsidR="00893A07" w:rsidRPr="0066575F" w:rsidRDefault="00893A07" w:rsidP="0066575F">
      <w:pPr>
        <w:spacing w:before="60" w:after="0" w:line="240" w:lineRule="auto"/>
        <w:jc w:val="both"/>
        <w:rPr>
          <w:rFonts w:ascii="Times New Roman" w:hAnsi="Times New Roman"/>
          <w:i/>
          <w:sz w:val="20"/>
          <w:szCs w:val="20"/>
          <w:lang w:val="en-US"/>
        </w:rPr>
      </w:pPr>
      <w:r w:rsidRPr="0066575F">
        <w:rPr>
          <w:rFonts w:ascii="Times New Roman" w:hAnsi="Times New Roman"/>
          <w:i/>
          <w:sz w:val="20"/>
          <w:szCs w:val="20"/>
          <w:lang w:val="en-US"/>
        </w:rPr>
        <w:t xml:space="preserve">* </w:t>
      </w:r>
      <w:r w:rsidR="00D03A6B" w:rsidRPr="0066575F">
        <w:rPr>
          <w:rFonts w:ascii="Times New Roman" w:hAnsi="Times New Roman"/>
          <w:i/>
          <w:sz w:val="20"/>
          <w:szCs w:val="20"/>
          <w:lang w:val="en-US"/>
        </w:rPr>
        <w:t>Taking into account the cost of purchasing a solid fuel (pellet) boiler, flue gas cleaning system and fuel storage bunker (sunflower husk pellets) for Energy Source 2, the cost of purchasing a storage tank, heat pump, gas boiler and heating element for Energy Source 3</w:t>
      </w:r>
    </w:p>
    <w:p w14:paraId="2B52DD61" w14:textId="4DB2625B" w:rsidR="00893A07" w:rsidRPr="0066575F" w:rsidRDefault="00893A07" w:rsidP="00893A07">
      <w:pPr>
        <w:spacing w:after="0" w:line="240" w:lineRule="auto"/>
        <w:jc w:val="both"/>
        <w:rPr>
          <w:rFonts w:ascii="Times New Roman" w:hAnsi="Times New Roman"/>
          <w:sz w:val="20"/>
          <w:szCs w:val="20"/>
          <w:lang w:val="en-US"/>
        </w:rPr>
      </w:pPr>
      <w:r w:rsidRPr="0066575F">
        <w:rPr>
          <w:rFonts w:ascii="Times New Roman" w:hAnsi="Times New Roman"/>
          <w:i/>
          <w:sz w:val="20"/>
          <w:szCs w:val="20"/>
          <w:lang w:val="en-US"/>
        </w:rPr>
        <w:t xml:space="preserve">** </w:t>
      </w:r>
      <w:r w:rsidR="00D03A6B" w:rsidRPr="0066575F">
        <w:rPr>
          <w:rFonts w:ascii="Times New Roman" w:hAnsi="Times New Roman"/>
          <w:i/>
          <w:sz w:val="20"/>
          <w:szCs w:val="20"/>
          <w:lang w:val="en-US"/>
        </w:rPr>
        <w:t>Taking into account the annual maintenance costs of heat</w:t>
      </w:r>
      <w:r w:rsidR="004D5C85">
        <w:rPr>
          <w:rFonts w:ascii="Times New Roman" w:hAnsi="Times New Roman"/>
          <w:i/>
          <w:sz w:val="20"/>
          <w:szCs w:val="20"/>
          <w:lang w:val="en-US"/>
        </w:rPr>
        <w:t>-</w:t>
      </w:r>
      <w:r w:rsidR="00D03A6B" w:rsidRPr="0066575F">
        <w:rPr>
          <w:rFonts w:ascii="Times New Roman" w:hAnsi="Times New Roman"/>
          <w:i/>
          <w:sz w:val="20"/>
          <w:szCs w:val="20"/>
          <w:lang w:val="en-US"/>
        </w:rPr>
        <w:t>generating equipment</w:t>
      </w:r>
    </w:p>
    <w:p w14:paraId="6C29C6CA" w14:textId="77777777" w:rsidR="001F5676" w:rsidRPr="004A592F" w:rsidRDefault="001F5676" w:rsidP="00893A07">
      <w:pPr>
        <w:spacing w:after="0" w:line="240" w:lineRule="auto"/>
        <w:ind w:firstLine="284"/>
        <w:jc w:val="both"/>
        <w:rPr>
          <w:rFonts w:ascii="Times New Roman" w:hAnsi="Times New Roman"/>
          <w:lang w:val="en-US"/>
        </w:rPr>
      </w:pPr>
    </w:p>
    <w:p w14:paraId="0C70D686" w14:textId="77777777" w:rsidR="00893A07" w:rsidRPr="004A592F" w:rsidRDefault="00893A07" w:rsidP="00893A07">
      <w:pPr>
        <w:spacing w:after="0" w:line="240" w:lineRule="auto"/>
        <w:jc w:val="center"/>
        <w:rPr>
          <w:rFonts w:ascii="Times New Roman" w:eastAsia="Times New Roman" w:hAnsi="Times New Roman"/>
          <w:bCs/>
          <w:iCs/>
          <w:lang w:val="en-US" w:eastAsia="ru-RU"/>
        </w:rPr>
      </w:pPr>
      <w:r w:rsidRPr="004A592F">
        <w:rPr>
          <w:noProof/>
          <w:lang w:val="ru-RU" w:eastAsia="ru-RU"/>
        </w:rPr>
        <w:lastRenderedPageBreak/>
        <w:drawing>
          <wp:inline distT="0" distB="0" distL="0" distR="0" wp14:anchorId="625E9F29" wp14:editId="4BFE6858">
            <wp:extent cx="6012000" cy="2808000"/>
            <wp:effectExtent l="0" t="0" r="0" b="0"/>
            <wp:docPr id="15" name="Диаграмма 15">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E29B95" w14:textId="44C1DCA5" w:rsidR="00893A07" w:rsidRPr="004A592F" w:rsidRDefault="0060345E" w:rsidP="001F5676">
      <w:pPr>
        <w:pStyle w:val="Rrys"/>
        <w:rPr>
          <w:lang w:eastAsia="ru-RU"/>
        </w:rPr>
      </w:pPr>
      <w:r w:rsidRPr="004A592F">
        <w:rPr>
          <w:b/>
          <w:lang w:eastAsia="ru-RU"/>
        </w:rPr>
        <w:t>Fig</w:t>
      </w:r>
      <w:r w:rsidR="001F5676">
        <w:rPr>
          <w:b/>
          <w:lang w:eastAsia="ru-RU"/>
        </w:rPr>
        <w:t>.</w:t>
      </w:r>
      <w:r w:rsidRPr="004A592F">
        <w:rPr>
          <w:b/>
          <w:lang w:eastAsia="ru-RU"/>
        </w:rPr>
        <w:t xml:space="preserve"> </w:t>
      </w:r>
      <w:r w:rsidR="00893A07" w:rsidRPr="004A592F">
        <w:rPr>
          <w:b/>
          <w:lang w:eastAsia="ru-RU"/>
        </w:rPr>
        <w:t>4.</w:t>
      </w:r>
      <w:r w:rsidR="00893A07" w:rsidRPr="0066575F">
        <w:rPr>
          <w:bCs/>
          <w:lang w:eastAsia="ru-RU"/>
        </w:rPr>
        <w:t xml:space="preserve"> </w:t>
      </w:r>
      <w:proofErr w:type="spellStart"/>
      <w:r w:rsidR="00566EDE" w:rsidRPr="004A592F">
        <w:rPr>
          <w:lang w:eastAsia="ru-RU"/>
        </w:rPr>
        <w:t>Changes</w:t>
      </w:r>
      <w:proofErr w:type="spellEnd"/>
      <w:r w:rsidR="00566EDE" w:rsidRPr="004A592F">
        <w:rPr>
          <w:lang w:eastAsia="ru-RU"/>
        </w:rPr>
        <w:t xml:space="preserve"> in </w:t>
      </w:r>
      <w:proofErr w:type="spellStart"/>
      <w:r w:rsidR="00566EDE" w:rsidRPr="004A592F">
        <w:rPr>
          <w:lang w:eastAsia="ru-RU"/>
        </w:rPr>
        <w:t>integrated</w:t>
      </w:r>
      <w:proofErr w:type="spellEnd"/>
      <w:r w:rsidR="00566EDE" w:rsidRPr="004A592F">
        <w:rPr>
          <w:lang w:eastAsia="ru-RU"/>
        </w:rPr>
        <w:t xml:space="preserve"> heating </w:t>
      </w:r>
      <w:proofErr w:type="spellStart"/>
      <w:r w:rsidR="00566EDE" w:rsidRPr="004A592F">
        <w:rPr>
          <w:lang w:eastAsia="ru-RU"/>
        </w:rPr>
        <w:t>costs</w:t>
      </w:r>
      <w:proofErr w:type="spellEnd"/>
      <w:r w:rsidR="00566EDE" w:rsidRPr="004A592F">
        <w:rPr>
          <w:lang w:eastAsia="ru-RU"/>
        </w:rPr>
        <w:t xml:space="preserve"> for </w:t>
      </w:r>
      <w:proofErr w:type="spellStart"/>
      <w:r w:rsidR="00566EDE" w:rsidRPr="004A592F">
        <w:rPr>
          <w:lang w:eastAsia="ru-RU"/>
        </w:rPr>
        <w:t>different</w:t>
      </w:r>
      <w:proofErr w:type="spellEnd"/>
      <w:r w:rsidR="00566EDE" w:rsidRPr="004A592F">
        <w:rPr>
          <w:lang w:eastAsia="ru-RU"/>
        </w:rPr>
        <w:t xml:space="preserve"> </w:t>
      </w:r>
      <w:proofErr w:type="spellStart"/>
      <w:r w:rsidR="00566EDE" w:rsidRPr="004A592F">
        <w:rPr>
          <w:lang w:eastAsia="ru-RU"/>
        </w:rPr>
        <w:t>ways</w:t>
      </w:r>
      <w:proofErr w:type="spellEnd"/>
      <w:r w:rsidR="00566EDE" w:rsidRPr="004A592F">
        <w:rPr>
          <w:lang w:eastAsia="ru-RU"/>
        </w:rPr>
        <w:t xml:space="preserve"> of </w:t>
      </w:r>
      <w:proofErr w:type="spellStart"/>
      <w:r w:rsidR="00566EDE" w:rsidRPr="004A592F">
        <w:rPr>
          <w:lang w:eastAsia="ru-RU"/>
        </w:rPr>
        <w:t>moderni</w:t>
      </w:r>
      <w:r w:rsidR="004D5C85">
        <w:rPr>
          <w:lang w:eastAsia="ru-RU"/>
        </w:rPr>
        <w:t>s</w:t>
      </w:r>
      <w:r w:rsidR="00566EDE" w:rsidRPr="004A592F">
        <w:rPr>
          <w:lang w:eastAsia="ru-RU"/>
        </w:rPr>
        <w:t>ing</w:t>
      </w:r>
      <w:proofErr w:type="spellEnd"/>
      <w:r w:rsidR="00566EDE" w:rsidRPr="004A592F">
        <w:rPr>
          <w:lang w:eastAsia="ru-RU"/>
        </w:rPr>
        <w:t xml:space="preserve"> a </w:t>
      </w:r>
      <w:proofErr w:type="spellStart"/>
      <w:r w:rsidR="00566EDE" w:rsidRPr="004A592F">
        <w:rPr>
          <w:lang w:eastAsia="ru-RU"/>
        </w:rPr>
        <w:t>building</w:t>
      </w:r>
      <w:proofErr w:type="spellEnd"/>
    </w:p>
    <w:p w14:paraId="13779938" w14:textId="77777777" w:rsidR="00C035AC" w:rsidRPr="004A592F" w:rsidRDefault="00C035AC" w:rsidP="001F5676">
      <w:pPr>
        <w:spacing w:after="0" w:line="240" w:lineRule="auto"/>
        <w:ind w:firstLine="284"/>
        <w:jc w:val="both"/>
        <w:rPr>
          <w:rFonts w:ascii="Times New Roman" w:hAnsi="Times New Roman"/>
          <w:lang w:val="en-US"/>
        </w:rPr>
      </w:pPr>
    </w:p>
    <w:p w14:paraId="6E3DB702" w14:textId="7684272A" w:rsidR="006F47AF" w:rsidRPr="004A592F" w:rsidRDefault="00566EDE" w:rsidP="006F47AF">
      <w:pPr>
        <w:spacing w:after="0" w:line="240" w:lineRule="auto"/>
        <w:ind w:firstLine="284"/>
        <w:jc w:val="both"/>
        <w:rPr>
          <w:rFonts w:ascii="Times New Roman" w:hAnsi="Times New Roman"/>
          <w:lang w:val="en-US"/>
        </w:rPr>
      </w:pPr>
      <w:r w:rsidRPr="001549A5">
        <w:rPr>
          <w:rFonts w:ascii="Times New Roman" w:hAnsi="Times New Roman"/>
          <w:spacing w:val="-2"/>
          <w:lang w:val="en-US"/>
        </w:rPr>
        <w:t xml:space="preserve">The result of the analysis of the slope of the lines </w:t>
      </w:r>
      <w:proofErr w:type="spellStart"/>
      <w:r w:rsidRPr="001549A5">
        <w:rPr>
          <w:rFonts w:ascii="Times New Roman" w:hAnsi="Times New Roman"/>
          <w:spacing w:val="-2"/>
          <w:lang w:val="en-US"/>
        </w:rPr>
        <w:t>characteri</w:t>
      </w:r>
      <w:r w:rsidR="004D5C85">
        <w:rPr>
          <w:rFonts w:ascii="Times New Roman" w:hAnsi="Times New Roman"/>
          <w:spacing w:val="-2"/>
          <w:lang w:val="en-US"/>
        </w:rPr>
        <w:t>s</w:t>
      </w:r>
      <w:r w:rsidRPr="001549A5">
        <w:rPr>
          <w:rFonts w:ascii="Times New Roman" w:hAnsi="Times New Roman"/>
          <w:spacing w:val="-2"/>
          <w:lang w:val="en-US"/>
        </w:rPr>
        <w:t>ing</w:t>
      </w:r>
      <w:proofErr w:type="spellEnd"/>
      <w:r w:rsidRPr="001549A5">
        <w:rPr>
          <w:rFonts w:ascii="Times New Roman" w:hAnsi="Times New Roman"/>
          <w:spacing w:val="-2"/>
          <w:lang w:val="en-US"/>
        </w:rPr>
        <w:t xml:space="preserve"> the integral costs indicates that the most cost-effective energy efficiency measures for building </w:t>
      </w:r>
      <w:proofErr w:type="spellStart"/>
      <w:r w:rsidRPr="001549A5">
        <w:rPr>
          <w:rFonts w:ascii="Times New Roman" w:hAnsi="Times New Roman"/>
          <w:spacing w:val="-2"/>
          <w:lang w:val="en-US"/>
        </w:rPr>
        <w:t>moderni</w:t>
      </w:r>
      <w:r w:rsidR="004D5C85">
        <w:rPr>
          <w:rFonts w:ascii="Times New Roman" w:hAnsi="Times New Roman"/>
          <w:spacing w:val="-2"/>
          <w:lang w:val="en-US"/>
        </w:rPr>
        <w:t>s</w:t>
      </w:r>
      <w:r w:rsidRPr="001549A5">
        <w:rPr>
          <w:rFonts w:ascii="Times New Roman" w:hAnsi="Times New Roman"/>
          <w:spacing w:val="-2"/>
          <w:lang w:val="en-US"/>
        </w:rPr>
        <w:t>ation</w:t>
      </w:r>
      <w:proofErr w:type="spellEnd"/>
      <w:r w:rsidRPr="001549A5">
        <w:rPr>
          <w:rFonts w:ascii="Times New Roman" w:hAnsi="Times New Roman"/>
          <w:spacing w:val="-2"/>
          <w:lang w:val="en-US"/>
        </w:rPr>
        <w:t xml:space="preserve"> in the long term are measures aimed at using a heat pump for heat supply with an improved level of thermal protection of the building envelope (II – 3, III – 3).</w:t>
      </w:r>
      <w:r w:rsidR="006F47AF" w:rsidRPr="004A592F">
        <w:rPr>
          <w:rFonts w:ascii="Times New Roman" w:hAnsi="Times New Roman"/>
          <w:lang w:val="en-US"/>
        </w:rPr>
        <w:t xml:space="preserve"> </w:t>
      </w:r>
      <w:r w:rsidRPr="004A592F">
        <w:rPr>
          <w:rFonts w:ascii="Times New Roman" w:hAnsi="Times New Roman"/>
          <w:lang w:val="en-US"/>
        </w:rPr>
        <w:t>Therefore, Figure 4 demonstrates the economic efficiency of improving the thermal protection of a</w:t>
      </w:r>
      <w:r w:rsidR="001549A5">
        <w:rPr>
          <w:rFonts w:ascii="Times New Roman" w:hAnsi="Times New Roman"/>
          <w:lang w:val="en-US"/>
        </w:rPr>
        <w:t> </w:t>
      </w:r>
      <w:r w:rsidRPr="004A592F">
        <w:rPr>
          <w:rFonts w:ascii="Times New Roman" w:hAnsi="Times New Roman"/>
          <w:lang w:val="en-US"/>
        </w:rPr>
        <w:t xml:space="preserve">building and using a heat pump for heat supply when implementing energy efficiency measures, provided that the parameters </w:t>
      </w:r>
      <w:proofErr w:type="spellStart"/>
      <w:r w:rsidRPr="004A592F">
        <w:rPr>
          <w:rFonts w:ascii="Times New Roman" w:hAnsi="Times New Roman"/>
          <w:lang w:val="en-US"/>
        </w:rPr>
        <w:t>characteri</w:t>
      </w:r>
      <w:r w:rsidR="004D5C85">
        <w:rPr>
          <w:rFonts w:ascii="Times New Roman" w:hAnsi="Times New Roman"/>
          <w:lang w:val="en-US"/>
        </w:rPr>
        <w:t>s</w:t>
      </w:r>
      <w:r w:rsidRPr="004A592F">
        <w:rPr>
          <w:rFonts w:ascii="Times New Roman" w:hAnsi="Times New Roman"/>
          <w:lang w:val="en-US"/>
        </w:rPr>
        <w:t>ing</w:t>
      </w:r>
      <w:proofErr w:type="spellEnd"/>
      <w:r w:rsidRPr="004A592F">
        <w:rPr>
          <w:rFonts w:ascii="Times New Roman" w:hAnsi="Times New Roman"/>
          <w:lang w:val="en-US"/>
        </w:rPr>
        <w:t xml:space="preserve"> the discount rate and energy price growth are neglected. The data on the payback periods of energy efficiency measures, which are the points of intersection of the integrated costs in Figure 4, is presented in numerical values in Table 4.</w:t>
      </w:r>
    </w:p>
    <w:p w14:paraId="118B005F" w14:textId="01E24BE2" w:rsidR="008900FC" w:rsidRDefault="008900FC" w:rsidP="008900FC">
      <w:pPr>
        <w:spacing w:after="0" w:line="240" w:lineRule="auto"/>
        <w:ind w:firstLine="284"/>
        <w:jc w:val="both"/>
        <w:rPr>
          <w:rFonts w:ascii="Times New Roman" w:hAnsi="Times New Roman"/>
          <w:spacing w:val="-2"/>
          <w:lang w:val="en-US"/>
        </w:rPr>
      </w:pPr>
      <w:r w:rsidRPr="004A592F">
        <w:rPr>
          <w:rFonts w:ascii="Times New Roman" w:hAnsi="Times New Roman"/>
          <w:lang w:val="en-US"/>
        </w:rPr>
        <w:t xml:space="preserve">According to the payback periods obtained (Table 4) for </w:t>
      </w:r>
      <w:proofErr w:type="spellStart"/>
      <w:r w:rsidRPr="004A592F">
        <w:rPr>
          <w:rFonts w:ascii="Times New Roman" w:hAnsi="Times New Roman"/>
          <w:lang w:val="en-US"/>
        </w:rPr>
        <w:t>moderni</w:t>
      </w:r>
      <w:r w:rsidR="004D5C85">
        <w:rPr>
          <w:rFonts w:ascii="Times New Roman" w:hAnsi="Times New Roman"/>
          <w:lang w:val="en-US"/>
        </w:rPr>
        <w:t>s</w:t>
      </w:r>
      <w:r w:rsidRPr="004A592F">
        <w:rPr>
          <w:rFonts w:ascii="Times New Roman" w:hAnsi="Times New Roman"/>
          <w:lang w:val="en-US"/>
        </w:rPr>
        <w:t>ation</w:t>
      </w:r>
      <w:proofErr w:type="spellEnd"/>
      <w:r w:rsidRPr="004A592F">
        <w:rPr>
          <w:rFonts w:ascii="Times New Roman" w:hAnsi="Times New Roman"/>
          <w:lang w:val="en-US"/>
        </w:rPr>
        <w:t xml:space="preserve"> measures, which are the result of the intersection of the integrated costs of heating a building during their implementation (Figure 4), the efficiency of using renewable energy sources for heat supply can be assessed by comparing the dynamics of costs of a building of the same thermal protection level (Levels I, II, III) using natural gas as an energy carrier (1) with those using renewable sources (2, 3 or parallel operation 1, 3). </w:t>
      </w:r>
      <w:r w:rsidRPr="008900FC">
        <w:rPr>
          <w:rFonts w:ascii="Times New Roman" w:hAnsi="Times New Roman"/>
          <w:spacing w:val="-2"/>
          <w:lang w:val="en-US"/>
        </w:rPr>
        <w:t>At the same time, the economic effect of using a heat pump for heat supply is somewhat more attractive compared to using a boiler that runs on sunflower husk pellets. This effect is achieved due to a significant difference in the cost of energy consumption.</w:t>
      </w:r>
    </w:p>
    <w:p w14:paraId="6DC86A06" w14:textId="77777777" w:rsidR="001532A7" w:rsidRPr="004A592F" w:rsidRDefault="001532A7" w:rsidP="008900FC">
      <w:pPr>
        <w:spacing w:after="0" w:line="240" w:lineRule="auto"/>
        <w:ind w:firstLine="284"/>
        <w:jc w:val="both"/>
        <w:rPr>
          <w:rFonts w:ascii="Times New Roman" w:hAnsi="Times New Roman"/>
          <w:lang w:val="en-US"/>
        </w:rPr>
      </w:pPr>
    </w:p>
    <w:p w14:paraId="0CEE890A" w14:textId="77777777" w:rsidR="006F47AF" w:rsidRPr="004A592F" w:rsidRDefault="00566EDE" w:rsidP="001F5676">
      <w:pPr>
        <w:pStyle w:val="Rtab"/>
      </w:pPr>
      <w:proofErr w:type="spellStart"/>
      <w:r w:rsidRPr="004A592F">
        <w:rPr>
          <w:b/>
        </w:rPr>
        <w:t>Table</w:t>
      </w:r>
      <w:proofErr w:type="spellEnd"/>
      <w:r w:rsidR="006F47AF" w:rsidRPr="004A592F">
        <w:rPr>
          <w:b/>
        </w:rPr>
        <w:t xml:space="preserve"> 4.</w:t>
      </w:r>
      <w:r w:rsidR="006F47AF" w:rsidRPr="004A592F">
        <w:t xml:space="preserve"> </w:t>
      </w:r>
      <w:proofErr w:type="spellStart"/>
      <w:r w:rsidRPr="004A592F">
        <w:t>Payback</w:t>
      </w:r>
      <w:proofErr w:type="spellEnd"/>
      <w:r w:rsidRPr="004A592F">
        <w:t xml:space="preserve"> period for </w:t>
      </w:r>
      <w:proofErr w:type="spellStart"/>
      <w:r w:rsidRPr="004A592F">
        <w:t>implementing</w:t>
      </w:r>
      <w:proofErr w:type="spellEnd"/>
      <w:r w:rsidRPr="004A592F">
        <w:t xml:space="preserve"> </w:t>
      </w:r>
      <w:proofErr w:type="spellStart"/>
      <w:r w:rsidRPr="004A592F">
        <w:t>energy</w:t>
      </w:r>
      <w:proofErr w:type="spellEnd"/>
      <w:r w:rsidRPr="004A592F">
        <w:t xml:space="preserve"> </w:t>
      </w:r>
      <w:proofErr w:type="spellStart"/>
      <w:r w:rsidRPr="004A592F">
        <w:t>efficiency</w:t>
      </w:r>
      <w:proofErr w:type="spellEnd"/>
      <w:r w:rsidRPr="004A592F">
        <w:t xml:space="preserve"> </w:t>
      </w:r>
      <w:proofErr w:type="spellStart"/>
      <w:r w:rsidRPr="004A592F">
        <w:t>measures</w:t>
      </w:r>
      <w:proofErr w:type="spellEnd"/>
      <w:r w:rsidRPr="004A592F">
        <w:t xml:space="preserve"> in a </w:t>
      </w:r>
      <w:proofErr w:type="spellStart"/>
      <w:r w:rsidRPr="004A592F">
        <w:t>building</w:t>
      </w:r>
      <w:proofErr w:type="spell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850"/>
        <w:gridCol w:w="851"/>
        <w:gridCol w:w="850"/>
        <w:gridCol w:w="851"/>
        <w:gridCol w:w="850"/>
        <w:gridCol w:w="851"/>
        <w:gridCol w:w="850"/>
        <w:gridCol w:w="851"/>
      </w:tblGrid>
      <w:tr w:rsidR="006F47AF" w:rsidRPr="001F5676" w14:paraId="19E1A676" w14:textId="77777777" w:rsidTr="008900FC">
        <w:trPr>
          <w:trHeight w:val="850"/>
        </w:trPr>
        <w:tc>
          <w:tcPr>
            <w:tcW w:w="1985" w:type="dxa"/>
            <w:shd w:val="clear" w:color="auto" w:fill="auto"/>
            <w:noWrap/>
            <w:vAlign w:val="center"/>
            <w:hideMark/>
          </w:tcPr>
          <w:p w14:paraId="0676221D" w14:textId="4940FED5" w:rsidR="006F47AF" w:rsidRPr="001F5676" w:rsidRDefault="00566EDE" w:rsidP="00C035AC">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 xml:space="preserve">Building thermal protection </w:t>
            </w:r>
            <w:r w:rsidR="001549A5">
              <w:rPr>
                <w:rFonts w:ascii="Times New Roman" w:eastAsia="Times New Roman" w:hAnsi="Times New Roman"/>
                <w:bCs/>
                <w:lang w:val="en-US"/>
              </w:rPr>
              <w:br/>
              <w:t>–</w:t>
            </w:r>
            <w:r w:rsidRPr="001F5676">
              <w:rPr>
                <w:rFonts w:ascii="Times New Roman" w:eastAsia="Times New Roman" w:hAnsi="Times New Roman"/>
                <w:bCs/>
                <w:lang w:val="en-US"/>
              </w:rPr>
              <w:t xml:space="preserve"> </w:t>
            </w:r>
            <w:r w:rsidR="00570AE1">
              <w:rPr>
                <w:rFonts w:ascii="Times New Roman" w:eastAsia="Times New Roman" w:hAnsi="Times New Roman"/>
                <w:bCs/>
                <w:lang w:val="en-US"/>
              </w:rPr>
              <w:t>E</w:t>
            </w:r>
            <w:r w:rsidRPr="001F5676">
              <w:rPr>
                <w:rFonts w:ascii="Times New Roman" w:eastAsia="Times New Roman" w:hAnsi="Times New Roman"/>
                <w:bCs/>
                <w:lang w:val="en-US"/>
              </w:rPr>
              <w:t>nergy source</w:t>
            </w:r>
          </w:p>
        </w:tc>
        <w:tc>
          <w:tcPr>
            <w:tcW w:w="850" w:type="dxa"/>
            <w:shd w:val="clear" w:color="auto" w:fill="auto"/>
            <w:noWrap/>
            <w:vAlign w:val="center"/>
            <w:hideMark/>
          </w:tcPr>
          <w:p w14:paraId="7D075719" w14:textId="77777777" w:rsidR="006F47AF" w:rsidRPr="001F5676" w:rsidRDefault="006F47AF" w:rsidP="00C035AC">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 – 1</w:t>
            </w:r>
          </w:p>
        </w:tc>
        <w:tc>
          <w:tcPr>
            <w:tcW w:w="850" w:type="dxa"/>
            <w:shd w:val="clear" w:color="auto" w:fill="auto"/>
            <w:noWrap/>
            <w:vAlign w:val="center"/>
            <w:hideMark/>
          </w:tcPr>
          <w:p w14:paraId="1DA54C80" w14:textId="77777777" w:rsidR="006F47AF" w:rsidRPr="001F5676" w:rsidRDefault="006F47AF" w:rsidP="00C035AC">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 – 2</w:t>
            </w:r>
          </w:p>
        </w:tc>
        <w:tc>
          <w:tcPr>
            <w:tcW w:w="851" w:type="dxa"/>
            <w:shd w:val="clear" w:color="auto" w:fill="auto"/>
            <w:noWrap/>
            <w:vAlign w:val="center"/>
            <w:hideMark/>
          </w:tcPr>
          <w:p w14:paraId="69748C0F" w14:textId="77777777" w:rsidR="006F47AF" w:rsidRPr="001F5676" w:rsidRDefault="006F47AF" w:rsidP="00C035AC">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 – 1, 3</w:t>
            </w:r>
          </w:p>
        </w:tc>
        <w:tc>
          <w:tcPr>
            <w:tcW w:w="850" w:type="dxa"/>
            <w:shd w:val="clear" w:color="auto" w:fill="auto"/>
            <w:noWrap/>
            <w:vAlign w:val="center"/>
            <w:hideMark/>
          </w:tcPr>
          <w:p w14:paraId="372E192E" w14:textId="77777777" w:rsidR="006F47AF" w:rsidRPr="001F5676" w:rsidRDefault="006F47AF" w:rsidP="00C035AC">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 – 1</w:t>
            </w:r>
          </w:p>
        </w:tc>
        <w:tc>
          <w:tcPr>
            <w:tcW w:w="851" w:type="dxa"/>
            <w:shd w:val="clear" w:color="auto" w:fill="auto"/>
            <w:noWrap/>
            <w:vAlign w:val="center"/>
            <w:hideMark/>
          </w:tcPr>
          <w:p w14:paraId="7E88CB9B" w14:textId="77777777" w:rsidR="006F47AF" w:rsidRPr="001F5676" w:rsidRDefault="006F47AF" w:rsidP="00C035AC">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 – 2</w:t>
            </w:r>
          </w:p>
        </w:tc>
        <w:tc>
          <w:tcPr>
            <w:tcW w:w="850" w:type="dxa"/>
            <w:shd w:val="clear" w:color="auto" w:fill="auto"/>
            <w:noWrap/>
            <w:vAlign w:val="center"/>
            <w:hideMark/>
          </w:tcPr>
          <w:p w14:paraId="60F7E79A" w14:textId="77777777" w:rsidR="006F47AF" w:rsidRPr="001F5676" w:rsidRDefault="006F47AF" w:rsidP="00C035AC">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 – 3</w:t>
            </w:r>
          </w:p>
        </w:tc>
        <w:tc>
          <w:tcPr>
            <w:tcW w:w="851" w:type="dxa"/>
            <w:shd w:val="clear" w:color="auto" w:fill="auto"/>
            <w:noWrap/>
            <w:vAlign w:val="center"/>
            <w:hideMark/>
          </w:tcPr>
          <w:p w14:paraId="217CE72C" w14:textId="77777777" w:rsidR="006F47AF" w:rsidRPr="001F5676" w:rsidRDefault="006F47AF" w:rsidP="00C035AC">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ІІІ – 1</w:t>
            </w:r>
          </w:p>
        </w:tc>
        <w:tc>
          <w:tcPr>
            <w:tcW w:w="850" w:type="dxa"/>
            <w:shd w:val="clear" w:color="auto" w:fill="auto"/>
            <w:noWrap/>
            <w:vAlign w:val="center"/>
            <w:hideMark/>
          </w:tcPr>
          <w:p w14:paraId="4FBD4FDC" w14:textId="77777777" w:rsidR="006F47AF" w:rsidRPr="001F5676" w:rsidRDefault="006F47AF" w:rsidP="00C035AC">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ІІІ – 2</w:t>
            </w:r>
          </w:p>
        </w:tc>
        <w:tc>
          <w:tcPr>
            <w:tcW w:w="851" w:type="dxa"/>
            <w:shd w:val="clear" w:color="auto" w:fill="auto"/>
            <w:noWrap/>
            <w:vAlign w:val="center"/>
            <w:hideMark/>
          </w:tcPr>
          <w:p w14:paraId="2CAD92B3" w14:textId="77777777" w:rsidR="006F47AF" w:rsidRPr="001F5676" w:rsidRDefault="006F47AF" w:rsidP="00C035AC">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ІІІ – 3</w:t>
            </w:r>
          </w:p>
        </w:tc>
      </w:tr>
      <w:tr w:rsidR="006F47AF" w:rsidRPr="004A592F" w14:paraId="58A35BCD" w14:textId="77777777" w:rsidTr="001549A5">
        <w:trPr>
          <w:trHeight w:val="283"/>
        </w:trPr>
        <w:tc>
          <w:tcPr>
            <w:tcW w:w="1985" w:type="dxa"/>
            <w:shd w:val="clear" w:color="auto" w:fill="auto"/>
            <w:noWrap/>
            <w:vAlign w:val="center"/>
            <w:hideMark/>
          </w:tcPr>
          <w:p w14:paraId="00BBB0A6"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 – 1</w:t>
            </w:r>
          </w:p>
        </w:tc>
        <w:tc>
          <w:tcPr>
            <w:tcW w:w="850" w:type="dxa"/>
            <w:shd w:val="clear" w:color="auto" w:fill="auto"/>
            <w:noWrap/>
            <w:vAlign w:val="center"/>
          </w:tcPr>
          <w:p w14:paraId="3B747120" w14:textId="3051D376"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7D24A187"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9</w:t>
            </w:r>
          </w:p>
        </w:tc>
        <w:tc>
          <w:tcPr>
            <w:tcW w:w="851" w:type="dxa"/>
            <w:shd w:val="clear" w:color="auto" w:fill="auto"/>
            <w:noWrap/>
            <w:vAlign w:val="center"/>
          </w:tcPr>
          <w:p w14:paraId="0155B999"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0" w:type="dxa"/>
            <w:shd w:val="clear" w:color="auto" w:fill="auto"/>
            <w:noWrap/>
            <w:vAlign w:val="center"/>
          </w:tcPr>
          <w:p w14:paraId="50BDD84E"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51" w:type="dxa"/>
            <w:shd w:val="clear" w:color="auto" w:fill="auto"/>
            <w:noWrap/>
            <w:vAlign w:val="center"/>
          </w:tcPr>
          <w:p w14:paraId="1E200B3F"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4E5C25D6"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1" w:type="dxa"/>
            <w:shd w:val="clear" w:color="auto" w:fill="auto"/>
            <w:noWrap/>
            <w:vAlign w:val="center"/>
          </w:tcPr>
          <w:p w14:paraId="40245431"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50" w:type="dxa"/>
            <w:shd w:val="clear" w:color="auto" w:fill="auto"/>
            <w:noWrap/>
            <w:vAlign w:val="center"/>
          </w:tcPr>
          <w:p w14:paraId="4CBEA049"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1" w:type="dxa"/>
            <w:shd w:val="clear" w:color="auto" w:fill="auto"/>
            <w:noWrap/>
            <w:vAlign w:val="center"/>
          </w:tcPr>
          <w:p w14:paraId="4817EB1C"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r>
      <w:tr w:rsidR="006F47AF" w:rsidRPr="004A592F" w14:paraId="330A6895" w14:textId="77777777" w:rsidTr="001549A5">
        <w:trPr>
          <w:trHeight w:val="283"/>
        </w:trPr>
        <w:tc>
          <w:tcPr>
            <w:tcW w:w="1985" w:type="dxa"/>
            <w:shd w:val="clear" w:color="auto" w:fill="auto"/>
            <w:noWrap/>
            <w:vAlign w:val="center"/>
            <w:hideMark/>
          </w:tcPr>
          <w:p w14:paraId="0E059E05"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 – 2</w:t>
            </w:r>
          </w:p>
        </w:tc>
        <w:tc>
          <w:tcPr>
            <w:tcW w:w="850" w:type="dxa"/>
            <w:shd w:val="clear" w:color="auto" w:fill="auto"/>
            <w:noWrap/>
            <w:vAlign w:val="center"/>
          </w:tcPr>
          <w:p w14:paraId="088BD16E" w14:textId="74810C74"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9</w:t>
            </w:r>
            <w:r w:rsidR="00A22B8F">
              <w:rPr>
                <w:rFonts w:ascii="Times New Roman" w:eastAsia="Times New Roman" w:hAnsi="Times New Roman"/>
                <w:color w:val="000000"/>
                <w:lang w:val="en-US"/>
              </w:rPr>
              <w:t>.0</w:t>
            </w:r>
          </w:p>
        </w:tc>
        <w:tc>
          <w:tcPr>
            <w:tcW w:w="850" w:type="dxa"/>
            <w:shd w:val="clear" w:color="auto" w:fill="auto"/>
            <w:noWrap/>
            <w:vAlign w:val="center"/>
          </w:tcPr>
          <w:p w14:paraId="76EE117E" w14:textId="4266D095"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1" w:type="dxa"/>
            <w:shd w:val="clear" w:color="auto" w:fill="auto"/>
            <w:noWrap/>
            <w:vAlign w:val="center"/>
          </w:tcPr>
          <w:p w14:paraId="2622193E"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0" w:type="dxa"/>
            <w:shd w:val="clear" w:color="auto" w:fill="auto"/>
            <w:noWrap/>
            <w:vAlign w:val="center"/>
          </w:tcPr>
          <w:p w14:paraId="052F2CC7"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1" w:type="dxa"/>
            <w:shd w:val="clear" w:color="auto" w:fill="auto"/>
            <w:noWrap/>
            <w:vAlign w:val="center"/>
          </w:tcPr>
          <w:p w14:paraId="7DD58C2E"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0" w:type="dxa"/>
            <w:shd w:val="clear" w:color="auto" w:fill="auto"/>
            <w:noWrap/>
            <w:vAlign w:val="center"/>
          </w:tcPr>
          <w:p w14:paraId="046FC244"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51" w:type="dxa"/>
            <w:shd w:val="clear" w:color="auto" w:fill="auto"/>
            <w:noWrap/>
            <w:vAlign w:val="center"/>
          </w:tcPr>
          <w:p w14:paraId="4E7C606D"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148C1882"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51" w:type="dxa"/>
            <w:shd w:val="clear" w:color="auto" w:fill="auto"/>
            <w:noWrap/>
            <w:vAlign w:val="center"/>
          </w:tcPr>
          <w:p w14:paraId="5D94DDB6"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r>
      <w:tr w:rsidR="006F47AF" w:rsidRPr="004A592F" w14:paraId="11CB3141" w14:textId="77777777" w:rsidTr="001549A5">
        <w:trPr>
          <w:trHeight w:val="283"/>
        </w:trPr>
        <w:tc>
          <w:tcPr>
            <w:tcW w:w="1985" w:type="dxa"/>
            <w:shd w:val="clear" w:color="auto" w:fill="auto"/>
            <w:noWrap/>
            <w:vAlign w:val="center"/>
            <w:hideMark/>
          </w:tcPr>
          <w:p w14:paraId="315AF153"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 – 1, 3</w:t>
            </w:r>
          </w:p>
        </w:tc>
        <w:tc>
          <w:tcPr>
            <w:tcW w:w="850" w:type="dxa"/>
            <w:shd w:val="clear" w:color="auto" w:fill="auto"/>
            <w:noWrap/>
            <w:vAlign w:val="center"/>
          </w:tcPr>
          <w:p w14:paraId="08E8C4CA"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0" w:type="dxa"/>
            <w:shd w:val="clear" w:color="auto" w:fill="auto"/>
            <w:noWrap/>
            <w:vAlign w:val="center"/>
          </w:tcPr>
          <w:p w14:paraId="64D21F5F"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1" w:type="dxa"/>
            <w:shd w:val="clear" w:color="auto" w:fill="auto"/>
            <w:noWrap/>
            <w:vAlign w:val="center"/>
          </w:tcPr>
          <w:p w14:paraId="6C0A5CDF" w14:textId="6A6F1F13"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6499BD49"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1" w:type="dxa"/>
            <w:shd w:val="clear" w:color="auto" w:fill="auto"/>
            <w:noWrap/>
            <w:vAlign w:val="center"/>
          </w:tcPr>
          <w:p w14:paraId="78FF9779"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50" w:type="dxa"/>
            <w:shd w:val="clear" w:color="auto" w:fill="auto"/>
            <w:noWrap/>
            <w:vAlign w:val="center"/>
          </w:tcPr>
          <w:p w14:paraId="0062E3C3"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1" w:type="dxa"/>
            <w:shd w:val="clear" w:color="auto" w:fill="auto"/>
            <w:noWrap/>
            <w:vAlign w:val="center"/>
          </w:tcPr>
          <w:p w14:paraId="6CC86B68"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50" w:type="dxa"/>
            <w:shd w:val="clear" w:color="auto" w:fill="auto"/>
            <w:noWrap/>
            <w:vAlign w:val="center"/>
          </w:tcPr>
          <w:p w14:paraId="5FCD5E21" w14:textId="6CE8CD94"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A22B8F">
              <w:rPr>
                <w:rFonts w:ascii="Times New Roman" w:eastAsia="Times New Roman" w:hAnsi="Times New Roman"/>
                <w:color w:val="000000"/>
                <w:lang w:val="en-US"/>
              </w:rPr>
              <w:t>.0</w:t>
            </w:r>
          </w:p>
        </w:tc>
        <w:tc>
          <w:tcPr>
            <w:tcW w:w="851" w:type="dxa"/>
            <w:shd w:val="clear" w:color="auto" w:fill="auto"/>
            <w:noWrap/>
            <w:vAlign w:val="center"/>
          </w:tcPr>
          <w:p w14:paraId="64A10F0C"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r>
      <w:tr w:rsidR="006F47AF" w:rsidRPr="004A592F" w14:paraId="3FB697C5" w14:textId="77777777" w:rsidTr="001549A5">
        <w:trPr>
          <w:trHeight w:val="283"/>
        </w:trPr>
        <w:tc>
          <w:tcPr>
            <w:tcW w:w="1985" w:type="dxa"/>
            <w:shd w:val="clear" w:color="auto" w:fill="auto"/>
            <w:noWrap/>
            <w:vAlign w:val="center"/>
            <w:hideMark/>
          </w:tcPr>
          <w:p w14:paraId="3B2D41B0"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 – 1</w:t>
            </w:r>
          </w:p>
        </w:tc>
        <w:tc>
          <w:tcPr>
            <w:tcW w:w="850" w:type="dxa"/>
            <w:shd w:val="clear" w:color="auto" w:fill="auto"/>
            <w:noWrap/>
            <w:vAlign w:val="center"/>
          </w:tcPr>
          <w:p w14:paraId="523DC3D2"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268E22B0"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1" w:type="dxa"/>
            <w:shd w:val="clear" w:color="auto" w:fill="auto"/>
            <w:noWrap/>
            <w:vAlign w:val="center"/>
          </w:tcPr>
          <w:p w14:paraId="35D573C8"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50" w:type="dxa"/>
            <w:shd w:val="clear" w:color="auto" w:fill="auto"/>
            <w:noWrap/>
            <w:vAlign w:val="center"/>
          </w:tcPr>
          <w:p w14:paraId="58C7A230" w14:textId="01F23A1C"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1" w:type="dxa"/>
            <w:shd w:val="clear" w:color="auto" w:fill="auto"/>
            <w:noWrap/>
            <w:vAlign w:val="center"/>
          </w:tcPr>
          <w:p w14:paraId="7DA5DFCE" w14:textId="167613E4"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5F87CFE7"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51" w:type="dxa"/>
            <w:shd w:val="clear" w:color="auto" w:fill="auto"/>
            <w:noWrap/>
            <w:vAlign w:val="center"/>
          </w:tcPr>
          <w:p w14:paraId="783FCAAC"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0" w:type="dxa"/>
            <w:shd w:val="clear" w:color="auto" w:fill="auto"/>
            <w:noWrap/>
            <w:vAlign w:val="center"/>
          </w:tcPr>
          <w:p w14:paraId="424F2F0E"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51" w:type="dxa"/>
            <w:shd w:val="clear" w:color="auto" w:fill="auto"/>
            <w:noWrap/>
            <w:vAlign w:val="center"/>
          </w:tcPr>
          <w:p w14:paraId="72CD0E9D" w14:textId="04C0AA28"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8</w:t>
            </w:r>
            <w:r w:rsidR="00A22B8F">
              <w:rPr>
                <w:rFonts w:ascii="Times New Roman" w:eastAsia="Times New Roman" w:hAnsi="Times New Roman"/>
                <w:color w:val="000000"/>
                <w:lang w:val="en-US"/>
              </w:rPr>
              <w:t>.0</w:t>
            </w:r>
          </w:p>
        </w:tc>
      </w:tr>
      <w:tr w:rsidR="006F47AF" w:rsidRPr="004A592F" w14:paraId="4E59862B" w14:textId="77777777" w:rsidTr="001549A5">
        <w:trPr>
          <w:trHeight w:val="283"/>
        </w:trPr>
        <w:tc>
          <w:tcPr>
            <w:tcW w:w="1985" w:type="dxa"/>
            <w:shd w:val="clear" w:color="auto" w:fill="auto"/>
            <w:noWrap/>
            <w:vAlign w:val="center"/>
            <w:hideMark/>
          </w:tcPr>
          <w:p w14:paraId="5AE9286C"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 – 2</w:t>
            </w:r>
          </w:p>
        </w:tc>
        <w:tc>
          <w:tcPr>
            <w:tcW w:w="850" w:type="dxa"/>
            <w:shd w:val="clear" w:color="auto" w:fill="auto"/>
            <w:noWrap/>
            <w:vAlign w:val="center"/>
          </w:tcPr>
          <w:p w14:paraId="3DC0987E"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20A6EAC6"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1" w:type="dxa"/>
            <w:shd w:val="clear" w:color="auto" w:fill="auto"/>
            <w:noWrap/>
            <w:vAlign w:val="center"/>
          </w:tcPr>
          <w:p w14:paraId="3E896EF8"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50" w:type="dxa"/>
            <w:shd w:val="clear" w:color="auto" w:fill="auto"/>
            <w:noWrap/>
            <w:vAlign w:val="center"/>
          </w:tcPr>
          <w:p w14:paraId="3972ED0C" w14:textId="701C0179"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1" w:type="dxa"/>
            <w:shd w:val="clear" w:color="auto" w:fill="auto"/>
            <w:noWrap/>
            <w:vAlign w:val="center"/>
          </w:tcPr>
          <w:p w14:paraId="08FCADBE" w14:textId="054503C9"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60A21755"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851" w:type="dxa"/>
            <w:shd w:val="clear" w:color="auto" w:fill="auto"/>
            <w:noWrap/>
            <w:vAlign w:val="center"/>
          </w:tcPr>
          <w:p w14:paraId="4565F264"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50" w:type="dxa"/>
            <w:shd w:val="clear" w:color="auto" w:fill="auto"/>
            <w:noWrap/>
            <w:vAlign w:val="center"/>
          </w:tcPr>
          <w:p w14:paraId="7310D059"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1" w:type="dxa"/>
            <w:shd w:val="clear" w:color="auto" w:fill="auto"/>
            <w:noWrap/>
            <w:vAlign w:val="center"/>
          </w:tcPr>
          <w:p w14:paraId="6715E75B"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r>
      <w:tr w:rsidR="006F47AF" w:rsidRPr="004A592F" w14:paraId="4E33DDC5" w14:textId="77777777" w:rsidTr="001549A5">
        <w:trPr>
          <w:trHeight w:val="283"/>
        </w:trPr>
        <w:tc>
          <w:tcPr>
            <w:tcW w:w="1985" w:type="dxa"/>
            <w:shd w:val="clear" w:color="auto" w:fill="auto"/>
            <w:noWrap/>
            <w:vAlign w:val="center"/>
            <w:hideMark/>
          </w:tcPr>
          <w:p w14:paraId="5B7CFFFA"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 – 3</w:t>
            </w:r>
          </w:p>
        </w:tc>
        <w:tc>
          <w:tcPr>
            <w:tcW w:w="850" w:type="dxa"/>
            <w:shd w:val="clear" w:color="auto" w:fill="auto"/>
            <w:noWrap/>
            <w:vAlign w:val="center"/>
          </w:tcPr>
          <w:p w14:paraId="65750A49"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56188502"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51" w:type="dxa"/>
            <w:shd w:val="clear" w:color="auto" w:fill="auto"/>
            <w:noWrap/>
            <w:vAlign w:val="center"/>
          </w:tcPr>
          <w:p w14:paraId="05B38C8D"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0" w:type="dxa"/>
            <w:shd w:val="clear" w:color="auto" w:fill="auto"/>
            <w:noWrap/>
            <w:vAlign w:val="center"/>
          </w:tcPr>
          <w:p w14:paraId="5423A323"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51" w:type="dxa"/>
            <w:shd w:val="clear" w:color="auto" w:fill="auto"/>
            <w:noWrap/>
            <w:vAlign w:val="center"/>
          </w:tcPr>
          <w:p w14:paraId="76364C1B"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850" w:type="dxa"/>
            <w:shd w:val="clear" w:color="auto" w:fill="auto"/>
            <w:noWrap/>
            <w:vAlign w:val="center"/>
          </w:tcPr>
          <w:p w14:paraId="1C129236" w14:textId="2AFDDF41"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1" w:type="dxa"/>
            <w:shd w:val="clear" w:color="auto" w:fill="auto"/>
            <w:noWrap/>
            <w:vAlign w:val="center"/>
          </w:tcPr>
          <w:p w14:paraId="0F7FD266" w14:textId="5B6C748E"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35B7500C" w14:textId="6E8D28BF"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1" w:type="dxa"/>
            <w:shd w:val="clear" w:color="auto" w:fill="auto"/>
            <w:noWrap/>
            <w:vAlign w:val="center"/>
          </w:tcPr>
          <w:p w14:paraId="5486B0A7" w14:textId="02C85724"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r>
      <w:tr w:rsidR="006F47AF" w:rsidRPr="004A592F" w14:paraId="674B457F" w14:textId="77777777" w:rsidTr="001549A5">
        <w:trPr>
          <w:trHeight w:val="283"/>
        </w:trPr>
        <w:tc>
          <w:tcPr>
            <w:tcW w:w="1985" w:type="dxa"/>
            <w:shd w:val="clear" w:color="auto" w:fill="auto"/>
            <w:noWrap/>
            <w:vAlign w:val="center"/>
            <w:hideMark/>
          </w:tcPr>
          <w:p w14:paraId="36CFA602"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ІІІ – 1</w:t>
            </w:r>
          </w:p>
        </w:tc>
        <w:tc>
          <w:tcPr>
            <w:tcW w:w="850" w:type="dxa"/>
            <w:shd w:val="clear" w:color="auto" w:fill="auto"/>
            <w:noWrap/>
            <w:vAlign w:val="center"/>
          </w:tcPr>
          <w:p w14:paraId="57207397"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50" w:type="dxa"/>
            <w:shd w:val="clear" w:color="auto" w:fill="auto"/>
            <w:noWrap/>
            <w:vAlign w:val="center"/>
          </w:tcPr>
          <w:p w14:paraId="12FF5208"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1" w:type="dxa"/>
            <w:shd w:val="clear" w:color="auto" w:fill="auto"/>
            <w:noWrap/>
            <w:vAlign w:val="center"/>
          </w:tcPr>
          <w:p w14:paraId="67FABF24"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50" w:type="dxa"/>
            <w:shd w:val="clear" w:color="auto" w:fill="auto"/>
            <w:noWrap/>
            <w:vAlign w:val="center"/>
          </w:tcPr>
          <w:p w14:paraId="1983B7CD"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1" w:type="dxa"/>
            <w:shd w:val="clear" w:color="auto" w:fill="auto"/>
            <w:noWrap/>
            <w:vAlign w:val="center"/>
          </w:tcPr>
          <w:p w14:paraId="6D2EE047"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50" w:type="dxa"/>
            <w:shd w:val="clear" w:color="auto" w:fill="auto"/>
            <w:noWrap/>
            <w:vAlign w:val="center"/>
          </w:tcPr>
          <w:p w14:paraId="3A5EF576" w14:textId="1FA40D95"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1" w:type="dxa"/>
            <w:shd w:val="clear" w:color="auto" w:fill="auto"/>
            <w:noWrap/>
            <w:vAlign w:val="center"/>
          </w:tcPr>
          <w:p w14:paraId="67FB7878" w14:textId="560EE0C9"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3549942C" w14:textId="0848BA5B"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1" w:type="dxa"/>
            <w:shd w:val="clear" w:color="auto" w:fill="auto"/>
            <w:noWrap/>
            <w:vAlign w:val="center"/>
          </w:tcPr>
          <w:p w14:paraId="62C62A22"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8</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r>
      <w:tr w:rsidR="006F47AF" w:rsidRPr="004A592F" w14:paraId="6AF611B8" w14:textId="77777777" w:rsidTr="001549A5">
        <w:trPr>
          <w:trHeight w:val="283"/>
        </w:trPr>
        <w:tc>
          <w:tcPr>
            <w:tcW w:w="1985" w:type="dxa"/>
            <w:shd w:val="clear" w:color="auto" w:fill="auto"/>
            <w:noWrap/>
            <w:vAlign w:val="center"/>
            <w:hideMark/>
          </w:tcPr>
          <w:p w14:paraId="4DB60F99"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ІІІ – 2</w:t>
            </w:r>
          </w:p>
        </w:tc>
        <w:tc>
          <w:tcPr>
            <w:tcW w:w="850" w:type="dxa"/>
            <w:shd w:val="clear" w:color="auto" w:fill="auto"/>
            <w:noWrap/>
            <w:vAlign w:val="center"/>
          </w:tcPr>
          <w:p w14:paraId="5C814117"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0" w:type="dxa"/>
            <w:shd w:val="clear" w:color="auto" w:fill="auto"/>
            <w:noWrap/>
            <w:vAlign w:val="center"/>
          </w:tcPr>
          <w:p w14:paraId="65AAE765"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51" w:type="dxa"/>
            <w:shd w:val="clear" w:color="auto" w:fill="auto"/>
            <w:noWrap/>
            <w:vAlign w:val="center"/>
          </w:tcPr>
          <w:p w14:paraId="687BF7F0" w14:textId="2693F91F"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A22B8F">
              <w:rPr>
                <w:rFonts w:ascii="Times New Roman" w:eastAsia="Times New Roman" w:hAnsi="Times New Roman"/>
                <w:color w:val="000000"/>
                <w:lang w:val="en-US"/>
              </w:rPr>
              <w:t>.0</w:t>
            </w:r>
          </w:p>
        </w:tc>
        <w:tc>
          <w:tcPr>
            <w:tcW w:w="850" w:type="dxa"/>
            <w:shd w:val="clear" w:color="auto" w:fill="auto"/>
            <w:noWrap/>
            <w:vAlign w:val="center"/>
          </w:tcPr>
          <w:p w14:paraId="76E3A1C1"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12</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51" w:type="dxa"/>
            <w:shd w:val="clear" w:color="auto" w:fill="auto"/>
            <w:noWrap/>
            <w:vAlign w:val="center"/>
          </w:tcPr>
          <w:p w14:paraId="15C154B7"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0" w:type="dxa"/>
            <w:shd w:val="clear" w:color="auto" w:fill="auto"/>
            <w:noWrap/>
            <w:vAlign w:val="center"/>
          </w:tcPr>
          <w:p w14:paraId="34DB9DAA" w14:textId="54BA6340"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1" w:type="dxa"/>
            <w:shd w:val="clear" w:color="auto" w:fill="auto"/>
            <w:noWrap/>
            <w:vAlign w:val="center"/>
          </w:tcPr>
          <w:p w14:paraId="683C4A89" w14:textId="48406B70"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6C046A6B" w14:textId="790B2F25"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1" w:type="dxa"/>
            <w:shd w:val="clear" w:color="auto" w:fill="auto"/>
            <w:noWrap/>
            <w:vAlign w:val="center"/>
          </w:tcPr>
          <w:p w14:paraId="0073865B"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r>
      <w:tr w:rsidR="006F47AF" w:rsidRPr="004A592F" w14:paraId="47D73D3D" w14:textId="77777777" w:rsidTr="001549A5">
        <w:trPr>
          <w:trHeight w:val="283"/>
        </w:trPr>
        <w:tc>
          <w:tcPr>
            <w:tcW w:w="1985" w:type="dxa"/>
            <w:shd w:val="clear" w:color="auto" w:fill="auto"/>
            <w:noWrap/>
            <w:vAlign w:val="center"/>
            <w:hideMark/>
          </w:tcPr>
          <w:p w14:paraId="7D12B6AE"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ІІІ – 3</w:t>
            </w:r>
          </w:p>
        </w:tc>
        <w:tc>
          <w:tcPr>
            <w:tcW w:w="850" w:type="dxa"/>
            <w:shd w:val="clear" w:color="auto" w:fill="auto"/>
            <w:noWrap/>
            <w:vAlign w:val="center"/>
          </w:tcPr>
          <w:p w14:paraId="51F719BC"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50" w:type="dxa"/>
            <w:shd w:val="clear" w:color="auto" w:fill="auto"/>
            <w:noWrap/>
            <w:vAlign w:val="center"/>
          </w:tcPr>
          <w:p w14:paraId="0FA32A20"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1" w:type="dxa"/>
            <w:shd w:val="clear" w:color="auto" w:fill="auto"/>
            <w:noWrap/>
            <w:vAlign w:val="center"/>
          </w:tcPr>
          <w:p w14:paraId="0193C587"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50" w:type="dxa"/>
            <w:shd w:val="clear" w:color="auto" w:fill="auto"/>
            <w:noWrap/>
            <w:vAlign w:val="center"/>
          </w:tcPr>
          <w:p w14:paraId="1D0D6C7D" w14:textId="54B76FC0"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8</w:t>
            </w:r>
            <w:r w:rsidR="00A22B8F">
              <w:rPr>
                <w:rFonts w:ascii="Times New Roman" w:eastAsia="Times New Roman" w:hAnsi="Times New Roman"/>
                <w:color w:val="000000"/>
                <w:lang w:val="en-US"/>
              </w:rPr>
              <w:t>.0</w:t>
            </w:r>
          </w:p>
        </w:tc>
        <w:tc>
          <w:tcPr>
            <w:tcW w:w="851" w:type="dxa"/>
            <w:shd w:val="clear" w:color="auto" w:fill="auto"/>
            <w:noWrap/>
            <w:vAlign w:val="center"/>
          </w:tcPr>
          <w:p w14:paraId="2707C3D7"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0" w:type="dxa"/>
            <w:shd w:val="clear" w:color="auto" w:fill="auto"/>
            <w:noWrap/>
            <w:vAlign w:val="center"/>
          </w:tcPr>
          <w:p w14:paraId="6FF0D892" w14:textId="0B1F12CD"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1" w:type="dxa"/>
            <w:shd w:val="clear" w:color="auto" w:fill="auto"/>
            <w:noWrap/>
            <w:vAlign w:val="center"/>
          </w:tcPr>
          <w:p w14:paraId="05B149D9"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8</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7D6ABBCE" w14:textId="77777777" w:rsidR="006F47AF" w:rsidRPr="004A592F" w:rsidRDefault="006F47AF" w:rsidP="00C035AC">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566EDE"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1" w:type="dxa"/>
            <w:shd w:val="clear" w:color="auto" w:fill="auto"/>
            <w:noWrap/>
            <w:vAlign w:val="center"/>
          </w:tcPr>
          <w:p w14:paraId="02B3D3F6" w14:textId="03A272CF" w:rsidR="006F47AF" w:rsidRPr="004A592F" w:rsidRDefault="00D55C43" w:rsidP="00C035AC">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r>
    </w:tbl>
    <w:p w14:paraId="275521D5" w14:textId="77777777" w:rsidR="006F47AF" w:rsidRPr="004A592F" w:rsidRDefault="006F47AF" w:rsidP="006F47AF">
      <w:pPr>
        <w:spacing w:after="0" w:line="240" w:lineRule="auto"/>
        <w:jc w:val="both"/>
        <w:rPr>
          <w:rFonts w:ascii="Times New Roman" w:eastAsia="Times New Roman" w:hAnsi="Times New Roman"/>
          <w:bCs/>
          <w:iCs/>
          <w:lang w:val="en-US" w:eastAsia="ru-RU"/>
        </w:rPr>
      </w:pPr>
    </w:p>
    <w:p w14:paraId="78F319B6" w14:textId="7348E891" w:rsidR="006F47AF" w:rsidRDefault="00F42D57" w:rsidP="00B3408D">
      <w:pPr>
        <w:spacing w:after="0" w:line="240" w:lineRule="auto"/>
        <w:ind w:firstLine="284"/>
        <w:jc w:val="both"/>
        <w:rPr>
          <w:rFonts w:ascii="Times New Roman" w:hAnsi="Times New Roman"/>
          <w:lang w:val="en-US"/>
        </w:rPr>
      </w:pPr>
      <w:r w:rsidRPr="004A592F">
        <w:rPr>
          <w:rFonts w:ascii="Times New Roman" w:hAnsi="Times New Roman"/>
          <w:lang w:val="en-US"/>
        </w:rPr>
        <w:t xml:space="preserve">The impact of the parameters </w:t>
      </w:r>
      <w:proofErr w:type="spellStart"/>
      <w:r w:rsidRPr="004A592F">
        <w:rPr>
          <w:rFonts w:ascii="Times New Roman" w:hAnsi="Times New Roman"/>
          <w:lang w:val="en-US"/>
        </w:rPr>
        <w:t>characteri</w:t>
      </w:r>
      <w:r w:rsidR="004D5C85">
        <w:rPr>
          <w:rFonts w:ascii="Times New Roman" w:hAnsi="Times New Roman"/>
          <w:lang w:val="en-US"/>
        </w:rPr>
        <w:t>s</w:t>
      </w:r>
      <w:r w:rsidRPr="004A592F">
        <w:rPr>
          <w:rFonts w:ascii="Times New Roman" w:hAnsi="Times New Roman"/>
          <w:lang w:val="en-US"/>
        </w:rPr>
        <w:t>ing</w:t>
      </w:r>
      <w:proofErr w:type="spellEnd"/>
      <w:r w:rsidRPr="004A592F">
        <w:rPr>
          <w:rFonts w:ascii="Times New Roman" w:hAnsi="Times New Roman"/>
          <w:lang w:val="en-US"/>
        </w:rPr>
        <w:t xml:space="preserve"> the increase in energy prices and the discount rate will be assessed by </w:t>
      </w:r>
      <w:proofErr w:type="spellStart"/>
      <w:r w:rsidRPr="004A592F">
        <w:rPr>
          <w:rFonts w:ascii="Times New Roman" w:hAnsi="Times New Roman"/>
          <w:lang w:val="en-US"/>
        </w:rPr>
        <w:t>analy</w:t>
      </w:r>
      <w:r w:rsidR="004D5C85">
        <w:rPr>
          <w:rFonts w:ascii="Times New Roman" w:hAnsi="Times New Roman"/>
          <w:lang w:val="en-US"/>
        </w:rPr>
        <w:t>s</w:t>
      </w:r>
      <w:r w:rsidRPr="004A592F">
        <w:rPr>
          <w:rFonts w:ascii="Times New Roman" w:hAnsi="Times New Roman"/>
          <w:lang w:val="en-US"/>
        </w:rPr>
        <w:t>ing</w:t>
      </w:r>
      <w:proofErr w:type="spellEnd"/>
      <w:r w:rsidRPr="004A592F">
        <w:rPr>
          <w:rFonts w:ascii="Times New Roman" w:hAnsi="Times New Roman"/>
          <w:lang w:val="en-US"/>
        </w:rPr>
        <w:t xml:space="preserve"> tariffs for natural gas, electricity, and sunflower husk pellets in the pre-war period. Studies of the natural gas and sunflower husk pellet markets show that tariff increases (for non-household consumers) are interdependent and vary </w:t>
      </w:r>
      <w:r w:rsidR="004D5C85">
        <w:rPr>
          <w:rFonts w:ascii="Times New Roman" w:hAnsi="Times New Roman"/>
          <w:lang w:val="en-US"/>
        </w:rPr>
        <w:t>between</w:t>
      </w:r>
      <w:r w:rsidRPr="004A592F">
        <w:rPr>
          <w:rFonts w:ascii="Times New Roman" w:hAnsi="Times New Roman"/>
          <w:lang w:val="en-US"/>
        </w:rPr>
        <w:t xml:space="preserve"> 3% and 2%, respectively.</w:t>
      </w:r>
      <w:r w:rsidR="006F47AF" w:rsidRPr="004A592F">
        <w:rPr>
          <w:rFonts w:ascii="Times New Roman" w:hAnsi="Times New Roman"/>
          <w:lang w:val="en-US"/>
        </w:rPr>
        <w:t xml:space="preserve"> </w:t>
      </w:r>
      <w:r w:rsidR="004D5C85">
        <w:rPr>
          <w:rFonts w:ascii="Times New Roman" w:hAnsi="Times New Roman"/>
          <w:lang w:val="en-US"/>
        </w:rPr>
        <w:t>According to statistics, the price increase for electricity used by the heat pump for heat generation was chosen at 3%</w:t>
      </w:r>
      <w:r w:rsidRPr="004A592F">
        <w:rPr>
          <w:rFonts w:ascii="Times New Roman" w:hAnsi="Times New Roman"/>
          <w:lang w:val="en-US"/>
        </w:rPr>
        <w:t xml:space="preserve">. The discount rate for </w:t>
      </w:r>
      <w:r w:rsidRPr="004A592F">
        <w:rPr>
          <w:rFonts w:ascii="Times New Roman" w:hAnsi="Times New Roman"/>
          <w:lang w:val="en-US"/>
        </w:rPr>
        <w:lastRenderedPageBreak/>
        <w:t>estimating the discounted integrated heating costs was chosen at the level of the discount rate used by EU member states in calculating the optimal costs of energy system mode</w:t>
      </w:r>
      <w:r w:rsidR="004D5C85">
        <w:rPr>
          <w:rFonts w:ascii="Times New Roman" w:hAnsi="Times New Roman"/>
          <w:lang w:val="en-US"/>
        </w:rPr>
        <w:t>l</w:t>
      </w:r>
      <w:r w:rsidRPr="004A592F">
        <w:rPr>
          <w:rFonts w:ascii="Times New Roman" w:hAnsi="Times New Roman"/>
          <w:lang w:val="en-US"/>
        </w:rPr>
        <w:t xml:space="preserve">ling </w:t>
      </w:r>
      <w:r w:rsidR="00537B26">
        <w:rPr>
          <w:rFonts w:ascii="Times New Roman" w:hAnsi="Times New Roman"/>
          <w:lang w:val="en-US"/>
        </w:rPr>
        <w:t>–</w:t>
      </w:r>
      <w:r w:rsidRPr="004A592F">
        <w:rPr>
          <w:rFonts w:ascii="Times New Roman" w:hAnsi="Times New Roman"/>
          <w:lang w:val="en-US"/>
        </w:rPr>
        <w:t xml:space="preserve"> 5% </w:t>
      </w:r>
      <w:r w:rsidR="006A0D15" w:rsidRPr="00563D9C">
        <w:rPr>
          <w:rFonts w:ascii="Times New Roman" w:hAnsi="Times New Roman"/>
          <w:lang w:val="en-US"/>
        </w:rPr>
        <w:t>(</w:t>
      </w:r>
      <w:proofErr w:type="spellStart"/>
      <w:r w:rsidR="006A0D15" w:rsidRPr="00563D9C">
        <w:rPr>
          <w:rFonts w:ascii="Times New Roman" w:hAnsi="Times New Roman"/>
          <w:lang w:val="en-US"/>
        </w:rPr>
        <w:t>Hermelink</w:t>
      </w:r>
      <w:proofErr w:type="spellEnd"/>
      <w:r w:rsidR="006A0D15" w:rsidRPr="00563D9C">
        <w:rPr>
          <w:rFonts w:ascii="Times New Roman" w:hAnsi="Times New Roman"/>
          <w:lang w:val="en-US"/>
        </w:rPr>
        <w:t>, et al. 2015)</w:t>
      </w:r>
      <w:r w:rsidRPr="004A592F">
        <w:rPr>
          <w:rFonts w:ascii="Times New Roman" w:hAnsi="Times New Roman"/>
          <w:lang w:val="en-US"/>
        </w:rPr>
        <w:t xml:space="preserve">. The change in the discounted integrated costs of heating a building </w:t>
      </w:r>
      <w:r w:rsidR="004D5C85">
        <w:rPr>
          <w:rFonts w:ascii="Times New Roman" w:hAnsi="Times New Roman"/>
          <w:lang w:val="en-US"/>
        </w:rPr>
        <w:t>for</w:t>
      </w:r>
      <w:r w:rsidRPr="004A592F">
        <w:rPr>
          <w:rFonts w:ascii="Times New Roman" w:hAnsi="Times New Roman"/>
          <w:lang w:val="en-US"/>
        </w:rPr>
        <w:t xml:space="preserve"> 20 years for the </w:t>
      </w:r>
      <w:proofErr w:type="spellStart"/>
      <w:r w:rsidRPr="004A592F">
        <w:rPr>
          <w:rFonts w:ascii="Times New Roman" w:hAnsi="Times New Roman"/>
          <w:lang w:val="en-US"/>
        </w:rPr>
        <w:t>moderni</w:t>
      </w:r>
      <w:r w:rsidR="004D5C85">
        <w:rPr>
          <w:rFonts w:ascii="Times New Roman" w:hAnsi="Times New Roman"/>
          <w:lang w:val="en-US"/>
        </w:rPr>
        <w:t>s</w:t>
      </w:r>
      <w:r w:rsidRPr="004A592F">
        <w:rPr>
          <w:rFonts w:ascii="Times New Roman" w:hAnsi="Times New Roman"/>
          <w:lang w:val="en-US"/>
        </w:rPr>
        <w:t>ation</w:t>
      </w:r>
      <w:proofErr w:type="spellEnd"/>
      <w:r w:rsidRPr="004A592F">
        <w:rPr>
          <w:rFonts w:ascii="Times New Roman" w:hAnsi="Times New Roman"/>
          <w:lang w:val="en-US"/>
        </w:rPr>
        <w:t xml:space="preserve"> options under consideration is shown in Figure 5.</w:t>
      </w:r>
    </w:p>
    <w:p w14:paraId="5A05B63E" w14:textId="77777777" w:rsidR="001F5676" w:rsidRPr="004A592F" w:rsidRDefault="001F5676" w:rsidP="00B3408D">
      <w:pPr>
        <w:spacing w:after="0" w:line="240" w:lineRule="auto"/>
        <w:ind w:firstLine="284"/>
        <w:jc w:val="both"/>
        <w:rPr>
          <w:rFonts w:ascii="Times New Roman" w:hAnsi="Times New Roman"/>
          <w:lang w:val="en-US"/>
        </w:rPr>
      </w:pPr>
    </w:p>
    <w:p w14:paraId="212E5D0C" w14:textId="77777777" w:rsidR="00803039" w:rsidRPr="004A592F" w:rsidRDefault="00B3408D" w:rsidP="001F5676">
      <w:pPr>
        <w:spacing w:after="0" w:line="240" w:lineRule="auto"/>
        <w:jc w:val="both"/>
        <w:rPr>
          <w:rFonts w:ascii="Times New Roman" w:eastAsia="Times New Roman" w:hAnsi="Times New Roman"/>
          <w:b/>
          <w:bCs/>
          <w:iCs/>
          <w:lang w:val="en-US" w:eastAsia="ru-RU"/>
        </w:rPr>
      </w:pPr>
      <w:r w:rsidRPr="004A592F">
        <w:rPr>
          <w:noProof/>
          <w:lang w:val="ru-RU" w:eastAsia="ru-RU"/>
        </w:rPr>
        <w:drawing>
          <wp:inline distT="0" distB="0" distL="0" distR="0" wp14:anchorId="7DDB1F29" wp14:editId="39266163">
            <wp:extent cx="6012000" cy="2844800"/>
            <wp:effectExtent l="0" t="0" r="0" b="0"/>
            <wp:docPr id="4" name="Диаграмма 4">
              <a:extLst xmlns:a="http://schemas.openxmlformats.org/drawingml/2006/main">
                <a:ext uri="{FF2B5EF4-FFF2-40B4-BE49-F238E27FC236}">
                  <a16:creationId xmlns:a16="http://schemas.microsoft.com/office/drawing/2014/main" id="{E17F1FB1-687F-4958-8C1C-ED59F5455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B447A4" w14:textId="11A68FB8" w:rsidR="00B3408D" w:rsidRPr="004A592F" w:rsidRDefault="0060345E" w:rsidP="001F5676">
      <w:pPr>
        <w:pStyle w:val="Rrys"/>
      </w:pPr>
      <w:r w:rsidRPr="004A592F">
        <w:rPr>
          <w:b/>
          <w:lang w:eastAsia="ru-RU"/>
        </w:rPr>
        <w:t>Fig</w:t>
      </w:r>
      <w:r w:rsidR="001F5676">
        <w:rPr>
          <w:b/>
          <w:lang w:eastAsia="ru-RU"/>
        </w:rPr>
        <w:t>.</w:t>
      </w:r>
      <w:r w:rsidRPr="004A592F">
        <w:rPr>
          <w:b/>
          <w:lang w:eastAsia="ru-RU"/>
        </w:rPr>
        <w:t xml:space="preserve"> </w:t>
      </w:r>
      <w:r w:rsidR="00B3408D" w:rsidRPr="004A592F">
        <w:rPr>
          <w:b/>
          <w:lang w:eastAsia="ru-RU"/>
        </w:rPr>
        <w:t>5.</w:t>
      </w:r>
      <w:r w:rsidR="00B3408D" w:rsidRPr="00E20835">
        <w:rPr>
          <w:bCs/>
          <w:lang w:eastAsia="ru-RU"/>
        </w:rPr>
        <w:t xml:space="preserve"> </w:t>
      </w:r>
      <w:proofErr w:type="spellStart"/>
      <w:r w:rsidR="00F42D57" w:rsidRPr="004A592F">
        <w:rPr>
          <w:lang w:eastAsia="ru-RU"/>
        </w:rPr>
        <w:t>Changes</w:t>
      </w:r>
      <w:proofErr w:type="spellEnd"/>
      <w:r w:rsidR="00F42D57" w:rsidRPr="004A592F">
        <w:rPr>
          <w:lang w:eastAsia="ru-RU"/>
        </w:rPr>
        <w:t xml:space="preserve"> in </w:t>
      </w:r>
      <w:proofErr w:type="spellStart"/>
      <w:r w:rsidR="00F42D57" w:rsidRPr="004A592F">
        <w:rPr>
          <w:lang w:eastAsia="ru-RU"/>
        </w:rPr>
        <w:t>discounted</w:t>
      </w:r>
      <w:proofErr w:type="spellEnd"/>
      <w:r w:rsidR="00F42D57" w:rsidRPr="004A592F">
        <w:rPr>
          <w:lang w:eastAsia="ru-RU"/>
        </w:rPr>
        <w:t xml:space="preserve"> </w:t>
      </w:r>
      <w:proofErr w:type="spellStart"/>
      <w:r w:rsidR="00F42D57" w:rsidRPr="004A592F">
        <w:rPr>
          <w:lang w:eastAsia="ru-RU"/>
        </w:rPr>
        <w:t>integrated</w:t>
      </w:r>
      <w:proofErr w:type="spellEnd"/>
      <w:r w:rsidR="00F42D57" w:rsidRPr="004A592F">
        <w:rPr>
          <w:lang w:eastAsia="ru-RU"/>
        </w:rPr>
        <w:t xml:space="preserve"> heating </w:t>
      </w:r>
      <w:proofErr w:type="spellStart"/>
      <w:r w:rsidR="00F42D57" w:rsidRPr="004A592F">
        <w:rPr>
          <w:lang w:eastAsia="ru-RU"/>
        </w:rPr>
        <w:t>costs</w:t>
      </w:r>
      <w:proofErr w:type="spellEnd"/>
      <w:r w:rsidR="00F42D57" w:rsidRPr="004A592F">
        <w:rPr>
          <w:lang w:eastAsia="ru-RU"/>
        </w:rPr>
        <w:t xml:space="preserve"> for </w:t>
      </w:r>
      <w:proofErr w:type="spellStart"/>
      <w:r w:rsidR="00F42D57" w:rsidRPr="004A592F">
        <w:rPr>
          <w:lang w:eastAsia="ru-RU"/>
        </w:rPr>
        <w:t>different</w:t>
      </w:r>
      <w:proofErr w:type="spellEnd"/>
      <w:r w:rsidR="00F42D57" w:rsidRPr="004A592F">
        <w:rPr>
          <w:lang w:eastAsia="ru-RU"/>
        </w:rPr>
        <w:t xml:space="preserve"> </w:t>
      </w:r>
      <w:proofErr w:type="spellStart"/>
      <w:r w:rsidR="00F42D57" w:rsidRPr="004A592F">
        <w:rPr>
          <w:lang w:eastAsia="ru-RU"/>
        </w:rPr>
        <w:t>ways</w:t>
      </w:r>
      <w:proofErr w:type="spellEnd"/>
      <w:r w:rsidR="00F42D57" w:rsidRPr="004A592F">
        <w:rPr>
          <w:lang w:eastAsia="ru-RU"/>
        </w:rPr>
        <w:t xml:space="preserve"> of </w:t>
      </w:r>
      <w:proofErr w:type="spellStart"/>
      <w:r w:rsidR="00F42D57" w:rsidRPr="004A592F">
        <w:rPr>
          <w:lang w:eastAsia="ru-RU"/>
        </w:rPr>
        <w:t>moderni</w:t>
      </w:r>
      <w:r w:rsidR="004D5C85">
        <w:rPr>
          <w:lang w:eastAsia="ru-RU"/>
        </w:rPr>
        <w:t>s</w:t>
      </w:r>
      <w:r w:rsidR="00F42D57" w:rsidRPr="004A592F">
        <w:rPr>
          <w:lang w:eastAsia="ru-RU"/>
        </w:rPr>
        <w:t>ing</w:t>
      </w:r>
      <w:proofErr w:type="spellEnd"/>
      <w:r w:rsidR="00F42D57" w:rsidRPr="004A592F">
        <w:rPr>
          <w:lang w:eastAsia="ru-RU"/>
        </w:rPr>
        <w:t xml:space="preserve"> the </w:t>
      </w:r>
      <w:proofErr w:type="spellStart"/>
      <w:r w:rsidR="00F42D57" w:rsidRPr="004A592F">
        <w:rPr>
          <w:lang w:eastAsia="ru-RU"/>
        </w:rPr>
        <w:t>building</w:t>
      </w:r>
      <w:proofErr w:type="spellEnd"/>
    </w:p>
    <w:p w14:paraId="59509C91" w14:textId="77777777" w:rsidR="001F5676" w:rsidRDefault="001F5676" w:rsidP="00B3408D">
      <w:pPr>
        <w:spacing w:after="0" w:line="240" w:lineRule="auto"/>
        <w:ind w:firstLine="284"/>
        <w:jc w:val="both"/>
        <w:rPr>
          <w:rFonts w:ascii="Times New Roman" w:hAnsi="Times New Roman"/>
          <w:lang w:val="en-US"/>
        </w:rPr>
      </w:pPr>
    </w:p>
    <w:p w14:paraId="412D0D7C" w14:textId="2E5771F5" w:rsidR="00B3408D" w:rsidRPr="004A592F" w:rsidRDefault="004D5C85" w:rsidP="00B3408D">
      <w:pPr>
        <w:spacing w:after="0" w:line="240" w:lineRule="auto"/>
        <w:ind w:firstLine="284"/>
        <w:jc w:val="both"/>
        <w:rPr>
          <w:rFonts w:ascii="Times New Roman" w:hAnsi="Times New Roman"/>
          <w:lang w:val="en-US"/>
        </w:rPr>
      </w:pPr>
      <w:r>
        <w:rPr>
          <w:rFonts w:ascii="Times New Roman" w:hAnsi="Times New Roman"/>
          <w:lang w:val="en-US"/>
        </w:rPr>
        <w:t>Considering</w:t>
      </w:r>
      <w:r w:rsidR="00F42D57" w:rsidRPr="004A592F">
        <w:rPr>
          <w:rFonts w:ascii="Times New Roman" w:hAnsi="Times New Roman"/>
          <w:lang w:val="en-US"/>
        </w:rPr>
        <w:t xml:space="preserve"> the economic parameters (E, l1-3) </w:t>
      </w:r>
      <w:r>
        <w:rPr>
          <w:rFonts w:ascii="Times New Roman" w:hAnsi="Times New Roman"/>
          <w:lang w:val="en-US"/>
        </w:rPr>
        <w:t xml:space="preserve">to estimate the integrated heating costs of the building, </w:t>
      </w:r>
      <w:proofErr w:type="spellStart"/>
      <w:r>
        <w:rPr>
          <w:rFonts w:ascii="Times New Roman" w:hAnsi="Times New Roman"/>
          <w:lang w:val="en-US"/>
        </w:rPr>
        <w:t>modernisation</w:t>
      </w:r>
      <w:proofErr w:type="spellEnd"/>
      <w:r>
        <w:rPr>
          <w:rFonts w:ascii="Times New Roman" w:hAnsi="Times New Roman"/>
          <w:lang w:val="en-US"/>
        </w:rPr>
        <w:t xml:space="preserve"> did not significantly affect the nature of the lines of change in integrated costs over 20 years for all</w:t>
      </w:r>
      <w:r w:rsidR="00F42D57" w:rsidRPr="004A592F">
        <w:rPr>
          <w:rFonts w:ascii="Times New Roman" w:hAnsi="Times New Roman"/>
          <w:lang w:val="en-US"/>
        </w:rPr>
        <w:t xml:space="preserve"> thermal protection </w:t>
      </w:r>
      <w:r>
        <w:rPr>
          <w:rFonts w:ascii="Times New Roman" w:hAnsi="Times New Roman"/>
          <w:lang w:val="en-US"/>
        </w:rPr>
        <w:t xml:space="preserve">levels </w:t>
      </w:r>
      <w:r w:rsidR="00F42D57" w:rsidRPr="004A592F">
        <w:rPr>
          <w:rFonts w:ascii="Times New Roman" w:hAnsi="Times New Roman"/>
          <w:lang w:val="en-US"/>
        </w:rPr>
        <w:t xml:space="preserve">and energy sources under consideration. Due to the insignificant difference in energy tariff growth rates, the payback periods for </w:t>
      </w:r>
      <w:proofErr w:type="spellStart"/>
      <w:r w:rsidR="00F42D57" w:rsidRPr="004A592F">
        <w:rPr>
          <w:rFonts w:ascii="Times New Roman" w:hAnsi="Times New Roman"/>
          <w:lang w:val="en-US"/>
        </w:rPr>
        <w:t>moderni</w:t>
      </w:r>
      <w:r>
        <w:rPr>
          <w:rFonts w:ascii="Times New Roman" w:hAnsi="Times New Roman"/>
          <w:lang w:val="en-US"/>
        </w:rPr>
        <w:t>s</w:t>
      </w:r>
      <w:r w:rsidR="00F42D57" w:rsidRPr="004A592F">
        <w:rPr>
          <w:rFonts w:ascii="Times New Roman" w:hAnsi="Times New Roman"/>
          <w:lang w:val="en-US"/>
        </w:rPr>
        <w:t>ation</w:t>
      </w:r>
      <w:proofErr w:type="spellEnd"/>
      <w:r w:rsidR="00F42D57" w:rsidRPr="004A592F">
        <w:rPr>
          <w:rFonts w:ascii="Times New Roman" w:hAnsi="Times New Roman"/>
          <w:lang w:val="en-US"/>
        </w:rPr>
        <w:t xml:space="preserve"> measures increased slightly</w:t>
      </w:r>
      <w:r>
        <w:rPr>
          <w:rFonts w:ascii="Times New Roman" w:hAnsi="Times New Roman"/>
          <w:lang w:val="en-US"/>
        </w:rPr>
        <w:t>. Still, they</w:t>
      </w:r>
      <w:r w:rsidR="00F42D57" w:rsidRPr="004A592F">
        <w:rPr>
          <w:rFonts w:ascii="Times New Roman" w:hAnsi="Times New Roman"/>
          <w:lang w:val="en-US"/>
        </w:rPr>
        <w:t xml:space="preserve"> remained at </w:t>
      </w:r>
      <w:r>
        <w:rPr>
          <w:rFonts w:ascii="Times New Roman" w:hAnsi="Times New Roman"/>
          <w:lang w:val="en-US"/>
        </w:rPr>
        <w:t>an</w:t>
      </w:r>
      <w:r w:rsidR="00F42D57" w:rsidRPr="004A592F">
        <w:rPr>
          <w:rFonts w:ascii="Times New Roman" w:hAnsi="Times New Roman"/>
          <w:lang w:val="en-US"/>
        </w:rPr>
        <w:t xml:space="preserve"> </w:t>
      </w:r>
      <w:r>
        <w:rPr>
          <w:rFonts w:ascii="Times New Roman" w:hAnsi="Times New Roman"/>
          <w:lang w:val="en-US"/>
        </w:rPr>
        <w:t>attractive level</w:t>
      </w:r>
      <w:r w:rsidR="00F42D57" w:rsidRPr="004A592F">
        <w:rPr>
          <w:rFonts w:ascii="Times New Roman" w:hAnsi="Times New Roman"/>
          <w:lang w:val="en-US"/>
        </w:rPr>
        <w:t xml:space="preserve"> from an economic point of view.</w:t>
      </w:r>
      <w:r w:rsidR="00B3408D" w:rsidRPr="004A592F">
        <w:rPr>
          <w:rFonts w:ascii="Times New Roman" w:hAnsi="Times New Roman"/>
          <w:lang w:val="en-US"/>
        </w:rPr>
        <w:t xml:space="preserve"> </w:t>
      </w:r>
      <w:r w:rsidR="00F42D57" w:rsidRPr="004A592F">
        <w:rPr>
          <w:rFonts w:ascii="Times New Roman" w:hAnsi="Times New Roman"/>
          <w:lang w:val="en-US"/>
        </w:rPr>
        <w:t xml:space="preserve">The payback periods for each of the considered ways of </w:t>
      </w:r>
      <w:proofErr w:type="spellStart"/>
      <w:r w:rsidR="00F42D57" w:rsidRPr="004A592F">
        <w:rPr>
          <w:rFonts w:ascii="Times New Roman" w:hAnsi="Times New Roman"/>
          <w:lang w:val="en-US"/>
        </w:rPr>
        <w:t>moderni</w:t>
      </w:r>
      <w:r>
        <w:rPr>
          <w:rFonts w:ascii="Times New Roman" w:hAnsi="Times New Roman"/>
          <w:lang w:val="en-US"/>
        </w:rPr>
        <w:t>s</w:t>
      </w:r>
      <w:r w:rsidR="00F42D57" w:rsidRPr="004A592F">
        <w:rPr>
          <w:rFonts w:ascii="Times New Roman" w:hAnsi="Times New Roman"/>
          <w:lang w:val="en-US"/>
        </w:rPr>
        <w:t>ing</w:t>
      </w:r>
      <w:proofErr w:type="spellEnd"/>
      <w:r w:rsidR="00F42D57" w:rsidRPr="004A592F">
        <w:rPr>
          <w:rFonts w:ascii="Times New Roman" w:hAnsi="Times New Roman"/>
          <w:lang w:val="en-US"/>
        </w:rPr>
        <w:t xml:space="preserve"> the building, </w:t>
      </w:r>
      <w:r>
        <w:rPr>
          <w:rFonts w:ascii="Times New Roman" w:hAnsi="Times New Roman"/>
          <w:lang w:val="en-US"/>
        </w:rPr>
        <w:t>considering</w:t>
      </w:r>
      <w:r w:rsidR="00F42D57" w:rsidRPr="004A592F">
        <w:rPr>
          <w:rFonts w:ascii="Times New Roman" w:hAnsi="Times New Roman"/>
          <w:lang w:val="en-US"/>
        </w:rPr>
        <w:t xml:space="preserve"> the increase in energy prices and the discount rate justified above, are shown in Table 5.</w:t>
      </w:r>
    </w:p>
    <w:p w14:paraId="3A814BA9" w14:textId="3C985BF2" w:rsidR="008900FC" w:rsidRDefault="008900FC">
      <w:pPr>
        <w:rPr>
          <w:rFonts w:ascii="Times New Roman" w:eastAsiaTheme="minorHAnsi" w:hAnsi="Times New Roman" w:cstheme="minorBidi"/>
          <w:b/>
          <w:kern w:val="2"/>
          <w:sz w:val="20"/>
          <w:lang w:val="pl-PL"/>
        </w:rPr>
      </w:pPr>
    </w:p>
    <w:p w14:paraId="4036D489" w14:textId="13CF053E" w:rsidR="00B3408D" w:rsidRPr="004A592F" w:rsidRDefault="00F42D57" w:rsidP="001F5676">
      <w:pPr>
        <w:pStyle w:val="Rtab"/>
      </w:pPr>
      <w:proofErr w:type="spellStart"/>
      <w:r w:rsidRPr="004A592F">
        <w:rPr>
          <w:b/>
        </w:rPr>
        <w:t>Table</w:t>
      </w:r>
      <w:proofErr w:type="spellEnd"/>
      <w:r w:rsidR="00B3408D" w:rsidRPr="004A592F">
        <w:rPr>
          <w:b/>
        </w:rPr>
        <w:t xml:space="preserve"> 5.</w:t>
      </w:r>
      <w:r w:rsidR="00B3408D" w:rsidRPr="00570AE1">
        <w:rPr>
          <w:bCs/>
        </w:rPr>
        <w:t xml:space="preserve"> </w:t>
      </w:r>
      <w:r w:rsidR="004D5C85">
        <w:t xml:space="preserve">The </w:t>
      </w:r>
      <w:proofErr w:type="spellStart"/>
      <w:r w:rsidR="004D5C85">
        <w:t>p</w:t>
      </w:r>
      <w:r w:rsidRPr="004A592F">
        <w:t>ayback</w:t>
      </w:r>
      <w:proofErr w:type="spellEnd"/>
      <w:r w:rsidRPr="004A592F">
        <w:t xml:space="preserve"> period for </w:t>
      </w:r>
      <w:proofErr w:type="spellStart"/>
      <w:r w:rsidRPr="004A592F">
        <w:t>implementing</w:t>
      </w:r>
      <w:proofErr w:type="spellEnd"/>
      <w:r w:rsidRPr="004A592F">
        <w:t xml:space="preserve"> </w:t>
      </w:r>
      <w:proofErr w:type="spellStart"/>
      <w:r w:rsidRPr="004A592F">
        <w:t>energy</w:t>
      </w:r>
      <w:proofErr w:type="spellEnd"/>
      <w:r w:rsidRPr="004A592F">
        <w:t xml:space="preserve"> </w:t>
      </w:r>
      <w:proofErr w:type="spellStart"/>
      <w:r w:rsidRPr="004A592F">
        <w:t>efficiency</w:t>
      </w:r>
      <w:proofErr w:type="spellEnd"/>
      <w:r w:rsidRPr="004A592F">
        <w:t xml:space="preserve"> </w:t>
      </w:r>
      <w:proofErr w:type="spellStart"/>
      <w:r w:rsidRPr="004A592F">
        <w:t>measures</w:t>
      </w:r>
      <w:proofErr w:type="spellEnd"/>
      <w:r w:rsidRPr="004A592F">
        <w:t xml:space="preserve"> in the </w:t>
      </w:r>
      <w:proofErr w:type="spellStart"/>
      <w:r w:rsidRPr="004A592F">
        <w:t>building</w:t>
      </w:r>
      <w:proofErr w:type="spellEnd"/>
      <w:r w:rsidRPr="004A592F">
        <w:t xml:space="preserve">, </w:t>
      </w:r>
      <w:proofErr w:type="spellStart"/>
      <w:r w:rsidRPr="004A592F">
        <w:t>taking</w:t>
      </w:r>
      <w:proofErr w:type="spellEnd"/>
      <w:r w:rsidRPr="004A592F">
        <w:t xml:space="preserve"> </w:t>
      </w:r>
      <w:proofErr w:type="spellStart"/>
      <w:r w:rsidRPr="004A592F">
        <w:t>into</w:t>
      </w:r>
      <w:proofErr w:type="spellEnd"/>
      <w:r w:rsidRPr="004A592F">
        <w:t xml:space="preserve"> </w:t>
      </w:r>
      <w:proofErr w:type="spellStart"/>
      <w:r w:rsidRPr="004A592F">
        <w:t>account</w:t>
      </w:r>
      <w:proofErr w:type="spellEnd"/>
      <w:r w:rsidRPr="004A592F">
        <w:t xml:space="preserve"> the </w:t>
      </w:r>
      <w:proofErr w:type="spellStart"/>
      <w:r w:rsidRPr="004A592F">
        <w:t>increase</w:t>
      </w:r>
      <w:proofErr w:type="spellEnd"/>
      <w:r w:rsidRPr="004A592F">
        <w:t xml:space="preserve"> in </w:t>
      </w:r>
      <w:proofErr w:type="spellStart"/>
      <w:r w:rsidRPr="004A592F">
        <w:t>energy</w:t>
      </w:r>
      <w:proofErr w:type="spellEnd"/>
      <w:r w:rsidRPr="004A592F">
        <w:t xml:space="preserve"> </w:t>
      </w:r>
      <w:proofErr w:type="spellStart"/>
      <w:r w:rsidRPr="004A592F">
        <w:t>prices</w:t>
      </w:r>
      <w:proofErr w:type="spellEnd"/>
      <w:r w:rsidRPr="004A592F">
        <w:t xml:space="preserve"> and </w:t>
      </w:r>
      <w:proofErr w:type="spellStart"/>
      <w:r w:rsidRPr="004A592F">
        <w:t>discount</w:t>
      </w:r>
      <w:proofErr w:type="spellEnd"/>
      <w:r w:rsidRPr="004A592F">
        <w:t xml:space="preserve"> </w:t>
      </w:r>
      <w:proofErr w:type="spellStart"/>
      <w:r w:rsidRPr="004A592F">
        <w:t>rate</w:t>
      </w:r>
      <w:proofErr w:type="spellEnd"/>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850"/>
        <w:gridCol w:w="850"/>
        <w:gridCol w:w="960"/>
        <w:gridCol w:w="850"/>
        <w:gridCol w:w="850"/>
        <w:gridCol w:w="850"/>
        <w:gridCol w:w="850"/>
        <w:gridCol w:w="850"/>
        <w:gridCol w:w="850"/>
      </w:tblGrid>
      <w:tr w:rsidR="00B3408D" w:rsidRPr="001F5676" w14:paraId="460B042D" w14:textId="77777777" w:rsidTr="008900FC">
        <w:trPr>
          <w:trHeight w:val="850"/>
        </w:trPr>
        <w:tc>
          <w:tcPr>
            <w:tcW w:w="1876" w:type="dxa"/>
            <w:shd w:val="clear" w:color="auto" w:fill="auto"/>
            <w:noWrap/>
            <w:vAlign w:val="center"/>
            <w:hideMark/>
          </w:tcPr>
          <w:p w14:paraId="7CD05C9E" w14:textId="3A14721F" w:rsidR="00B3408D" w:rsidRPr="001F5676" w:rsidRDefault="00F42D57" w:rsidP="00F42D57">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 xml:space="preserve">Building thermal protection </w:t>
            </w:r>
            <w:r w:rsidR="00570AE1">
              <w:rPr>
                <w:rFonts w:ascii="Times New Roman" w:eastAsia="Times New Roman" w:hAnsi="Times New Roman"/>
                <w:bCs/>
                <w:lang w:val="en-US"/>
              </w:rPr>
              <w:br/>
            </w:r>
            <w:r w:rsidR="00B3408D" w:rsidRPr="001F5676">
              <w:rPr>
                <w:rFonts w:ascii="Times New Roman" w:eastAsia="Times New Roman" w:hAnsi="Times New Roman"/>
                <w:bCs/>
                <w:lang w:val="en-US"/>
              </w:rPr>
              <w:t xml:space="preserve">– </w:t>
            </w:r>
            <w:r w:rsidRPr="001F5676">
              <w:rPr>
                <w:rFonts w:ascii="Times New Roman" w:eastAsia="Times New Roman" w:hAnsi="Times New Roman"/>
                <w:bCs/>
                <w:lang w:val="en-US"/>
              </w:rPr>
              <w:t>Energy source</w:t>
            </w:r>
          </w:p>
        </w:tc>
        <w:tc>
          <w:tcPr>
            <w:tcW w:w="850" w:type="dxa"/>
            <w:shd w:val="clear" w:color="auto" w:fill="auto"/>
            <w:noWrap/>
            <w:vAlign w:val="center"/>
            <w:hideMark/>
          </w:tcPr>
          <w:p w14:paraId="607E02AC" w14:textId="77777777" w:rsidR="00B3408D" w:rsidRPr="001F5676" w:rsidRDefault="00B3408D" w:rsidP="00B3408D">
            <w:pPr>
              <w:spacing w:after="0" w:line="240" w:lineRule="auto"/>
              <w:ind w:firstLine="5"/>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 – 1</w:t>
            </w:r>
          </w:p>
        </w:tc>
        <w:tc>
          <w:tcPr>
            <w:tcW w:w="850" w:type="dxa"/>
            <w:shd w:val="clear" w:color="auto" w:fill="auto"/>
            <w:noWrap/>
            <w:vAlign w:val="center"/>
            <w:hideMark/>
          </w:tcPr>
          <w:p w14:paraId="5D396244" w14:textId="77777777" w:rsidR="00B3408D" w:rsidRPr="001F5676" w:rsidRDefault="00B3408D" w:rsidP="00B3408D">
            <w:pPr>
              <w:spacing w:after="0" w:line="240" w:lineRule="auto"/>
              <w:ind w:hanging="36"/>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 – 2</w:t>
            </w:r>
          </w:p>
        </w:tc>
        <w:tc>
          <w:tcPr>
            <w:tcW w:w="960" w:type="dxa"/>
            <w:shd w:val="clear" w:color="auto" w:fill="auto"/>
            <w:noWrap/>
            <w:vAlign w:val="center"/>
            <w:hideMark/>
          </w:tcPr>
          <w:p w14:paraId="7D7BA61D" w14:textId="77777777" w:rsidR="00B3408D" w:rsidRPr="001F5676" w:rsidRDefault="00B3408D" w:rsidP="00B3408D">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 – 1, 3</w:t>
            </w:r>
          </w:p>
        </w:tc>
        <w:tc>
          <w:tcPr>
            <w:tcW w:w="850" w:type="dxa"/>
            <w:shd w:val="clear" w:color="auto" w:fill="auto"/>
            <w:noWrap/>
            <w:vAlign w:val="center"/>
            <w:hideMark/>
          </w:tcPr>
          <w:p w14:paraId="0BA09775" w14:textId="77777777" w:rsidR="00B3408D" w:rsidRPr="001F5676" w:rsidRDefault="00B3408D" w:rsidP="00B3408D">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 – 1</w:t>
            </w:r>
          </w:p>
        </w:tc>
        <w:tc>
          <w:tcPr>
            <w:tcW w:w="850" w:type="dxa"/>
            <w:shd w:val="clear" w:color="auto" w:fill="auto"/>
            <w:noWrap/>
            <w:vAlign w:val="center"/>
            <w:hideMark/>
          </w:tcPr>
          <w:p w14:paraId="2ADF0CCB" w14:textId="77777777" w:rsidR="00B3408D" w:rsidRPr="001F5676" w:rsidRDefault="00B3408D" w:rsidP="00B3408D">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 – 2</w:t>
            </w:r>
          </w:p>
        </w:tc>
        <w:tc>
          <w:tcPr>
            <w:tcW w:w="850" w:type="dxa"/>
            <w:shd w:val="clear" w:color="auto" w:fill="auto"/>
            <w:noWrap/>
            <w:vAlign w:val="center"/>
            <w:hideMark/>
          </w:tcPr>
          <w:p w14:paraId="49FA7E72" w14:textId="77777777" w:rsidR="00B3408D" w:rsidRPr="001F5676" w:rsidRDefault="00B3408D" w:rsidP="00B3408D">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 – 3</w:t>
            </w:r>
          </w:p>
        </w:tc>
        <w:tc>
          <w:tcPr>
            <w:tcW w:w="850" w:type="dxa"/>
            <w:shd w:val="clear" w:color="auto" w:fill="auto"/>
            <w:noWrap/>
            <w:vAlign w:val="center"/>
            <w:hideMark/>
          </w:tcPr>
          <w:p w14:paraId="29D1A5D2" w14:textId="77777777" w:rsidR="00B3408D" w:rsidRPr="001F5676" w:rsidRDefault="00B3408D" w:rsidP="00B3408D">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ІІІ – 1</w:t>
            </w:r>
          </w:p>
        </w:tc>
        <w:tc>
          <w:tcPr>
            <w:tcW w:w="850" w:type="dxa"/>
            <w:shd w:val="clear" w:color="auto" w:fill="auto"/>
            <w:noWrap/>
            <w:vAlign w:val="center"/>
            <w:hideMark/>
          </w:tcPr>
          <w:p w14:paraId="6AD32AED" w14:textId="77777777" w:rsidR="00B3408D" w:rsidRPr="001F5676" w:rsidRDefault="00B3408D" w:rsidP="00B3408D">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ІІІ – 2</w:t>
            </w:r>
          </w:p>
        </w:tc>
        <w:tc>
          <w:tcPr>
            <w:tcW w:w="850" w:type="dxa"/>
            <w:shd w:val="clear" w:color="auto" w:fill="auto"/>
            <w:noWrap/>
            <w:vAlign w:val="center"/>
            <w:hideMark/>
          </w:tcPr>
          <w:p w14:paraId="4222A46F" w14:textId="77777777" w:rsidR="00B3408D" w:rsidRPr="001F5676" w:rsidRDefault="00B3408D" w:rsidP="00B3408D">
            <w:pPr>
              <w:spacing w:after="0" w:line="240" w:lineRule="auto"/>
              <w:ind w:firstLine="5"/>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ІІІ – 3</w:t>
            </w:r>
          </w:p>
        </w:tc>
      </w:tr>
      <w:tr w:rsidR="00B3408D" w:rsidRPr="004A592F" w14:paraId="2EFDD4A9" w14:textId="77777777" w:rsidTr="001F5676">
        <w:trPr>
          <w:trHeight w:val="288"/>
        </w:trPr>
        <w:tc>
          <w:tcPr>
            <w:tcW w:w="1876" w:type="dxa"/>
            <w:shd w:val="clear" w:color="auto" w:fill="auto"/>
            <w:noWrap/>
            <w:vAlign w:val="center"/>
            <w:hideMark/>
          </w:tcPr>
          <w:p w14:paraId="2FAC01A0" w14:textId="77777777" w:rsidR="00B3408D" w:rsidRPr="004A592F" w:rsidRDefault="00B3408D" w:rsidP="00B3408D">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 – 1</w:t>
            </w:r>
          </w:p>
        </w:tc>
        <w:tc>
          <w:tcPr>
            <w:tcW w:w="850" w:type="dxa"/>
            <w:shd w:val="clear" w:color="auto" w:fill="auto"/>
            <w:noWrap/>
            <w:vAlign w:val="center"/>
          </w:tcPr>
          <w:p w14:paraId="74C71157" w14:textId="2E57A687" w:rsidR="00B3408D" w:rsidRPr="004A592F" w:rsidRDefault="00D55C43" w:rsidP="00B3408D">
            <w:pPr>
              <w:spacing w:after="0" w:line="240" w:lineRule="auto"/>
              <w:ind w:firstLine="5"/>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13F13BFB" w14:textId="77777777" w:rsidR="00B3408D" w:rsidRPr="004A592F" w:rsidRDefault="00B3408D" w:rsidP="00F42D57">
            <w:pPr>
              <w:spacing w:after="0" w:line="240" w:lineRule="auto"/>
              <w:ind w:hanging="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960" w:type="dxa"/>
            <w:shd w:val="clear" w:color="auto" w:fill="auto"/>
            <w:noWrap/>
            <w:vAlign w:val="center"/>
          </w:tcPr>
          <w:p w14:paraId="2896CBF3"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0" w:type="dxa"/>
            <w:shd w:val="clear" w:color="auto" w:fill="auto"/>
            <w:noWrap/>
            <w:vAlign w:val="center"/>
          </w:tcPr>
          <w:p w14:paraId="3C1AF2DC"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50" w:type="dxa"/>
            <w:shd w:val="clear" w:color="auto" w:fill="auto"/>
            <w:noWrap/>
            <w:vAlign w:val="center"/>
          </w:tcPr>
          <w:p w14:paraId="70E3A3A2"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68096327"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850" w:type="dxa"/>
            <w:shd w:val="clear" w:color="auto" w:fill="auto"/>
            <w:noWrap/>
            <w:vAlign w:val="center"/>
          </w:tcPr>
          <w:p w14:paraId="4B2DBF2F"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0" w:type="dxa"/>
            <w:shd w:val="clear" w:color="auto" w:fill="auto"/>
            <w:noWrap/>
            <w:vAlign w:val="center"/>
          </w:tcPr>
          <w:p w14:paraId="350C5D1E"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50" w:type="dxa"/>
            <w:shd w:val="clear" w:color="auto" w:fill="auto"/>
            <w:noWrap/>
            <w:vAlign w:val="center"/>
          </w:tcPr>
          <w:p w14:paraId="365D2915"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r>
      <w:tr w:rsidR="00B3408D" w:rsidRPr="004A592F" w14:paraId="67F7CAF4" w14:textId="77777777" w:rsidTr="001F5676">
        <w:trPr>
          <w:trHeight w:val="288"/>
        </w:trPr>
        <w:tc>
          <w:tcPr>
            <w:tcW w:w="1876" w:type="dxa"/>
            <w:shd w:val="clear" w:color="auto" w:fill="auto"/>
            <w:noWrap/>
            <w:vAlign w:val="center"/>
            <w:hideMark/>
          </w:tcPr>
          <w:p w14:paraId="5AD41C8D" w14:textId="77777777" w:rsidR="00B3408D" w:rsidRPr="004A592F" w:rsidRDefault="00B3408D" w:rsidP="00B3408D">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 – 2</w:t>
            </w:r>
          </w:p>
        </w:tc>
        <w:tc>
          <w:tcPr>
            <w:tcW w:w="850" w:type="dxa"/>
            <w:shd w:val="clear" w:color="auto" w:fill="auto"/>
            <w:noWrap/>
            <w:vAlign w:val="center"/>
          </w:tcPr>
          <w:p w14:paraId="1658402A"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52A25729" w14:textId="51A4289C" w:rsidR="00B3408D" w:rsidRPr="004A592F" w:rsidRDefault="00D55C43" w:rsidP="00B3408D">
            <w:pPr>
              <w:spacing w:after="0" w:line="240" w:lineRule="auto"/>
              <w:ind w:hanging="36"/>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960" w:type="dxa"/>
            <w:shd w:val="clear" w:color="auto" w:fill="auto"/>
            <w:noWrap/>
            <w:vAlign w:val="center"/>
          </w:tcPr>
          <w:p w14:paraId="38F699CF"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50" w:type="dxa"/>
            <w:shd w:val="clear" w:color="auto" w:fill="auto"/>
            <w:noWrap/>
            <w:vAlign w:val="center"/>
          </w:tcPr>
          <w:p w14:paraId="677772D6"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0" w:type="dxa"/>
            <w:shd w:val="clear" w:color="auto" w:fill="auto"/>
            <w:noWrap/>
            <w:vAlign w:val="center"/>
          </w:tcPr>
          <w:p w14:paraId="6C7D775F"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0" w:type="dxa"/>
            <w:shd w:val="clear" w:color="auto" w:fill="auto"/>
            <w:noWrap/>
            <w:vAlign w:val="center"/>
          </w:tcPr>
          <w:p w14:paraId="24596C7A"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50" w:type="dxa"/>
            <w:shd w:val="clear" w:color="auto" w:fill="auto"/>
            <w:noWrap/>
            <w:vAlign w:val="center"/>
          </w:tcPr>
          <w:p w14:paraId="15A34CA1"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850" w:type="dxa"/>
            <w:shd w:val="clear" w:color="auto" w:fill="auto"/>
            <w:noWrap/>
            <w:vAlign w:val="center"/>
          </w:tcPr>
          <w:p w14:paraId="34BF7AD4"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0" w:type="dxa"/>
            <w:shd w:val="clear" w:color="auto" w:fill="auto"/>
            <w:noWrap/>
            <w:vAlign w:val="center"/>
          </w:tcPr>
          <w:p w14:paraId="30D7F5A7"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r>
      <w:tr w:rsidR="00B3408D" w:rsidRPr="004A592F" w14:paraId="55D5F483" w14:textId="77777777" w:rsidTr="001F5676">
        <w:trPr>
          <w:trHeight w:val="288"/>
        </w:trPr>
        <w:tc>
          <w:tcPr>
            <w:tcW w:w="1876" w:type="dxa"/>
            <w:shd w:val="clear" w:color="auto" w:fill="auto"/>
            <w:noWrap/>
            <w:vAlign w:val="center"/>
            <w:hideMark/>
          </w:tcPr>
          <w:p w14:paraId="2831D0D4" w14:textId="77777777" w:rsidR="00B3408D" w:rsidRPr="004A592F" w:rsidRDefault="00B3408D" w:rsidP="00B3408D">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 – 1, 3</w:t>
            </w:r>
          </w:p>
        </w:tc>
        <w:tc>
          <w:tcPr>
            <w:tcW w:w="850" w:type="dxa"/>
            <w:shd w:val="clear" w:color="auto" w:fill="auto"/>
            <w:noWrap/>
            <w:vAlign w:val="center"/>
          </w:tcPr>
          <w:p w14:paraId="1A2514DB"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0" w:type="dxa"/>
            <w:shd w:val="clear" w:color="auto" w:fill="auto"/>
            <w:noWrap/>
            <w:vAlign w:val="center"/>
          </w:tcPr>
          <w:p w14:paraId="1B9DE61C" w14:textId="77777777" w:rsidR="00B3408D" w:rsidRPr="004A592F" w:rsidRDefault="00B3408D" w:rsidP="00F42D57">
            <w:pPr>
              <w:spacing w:after="0" w:line="240" w:lineRule="auto"/>
              <w:ind w:hanging="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960" w:type="dxa"/>
            <w:shd w:val="clear" w:color="auto" w:fill="auto"/>
            <w:noWrap/>
            <w:vAlign w:val="center"/>
          </w:tcPr>
          <w:p w14:paraId="13917DC4" w14:textId="7B736BB5"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4F928784"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0" w:type="dxa"/>
            <w:shd w:val="clear" w:color="auto" w:fill="auto"/>
            <w:noWrap/>
            <w:vAlign w:val="center"/>
          </w:tcPr>
          <w:p w14:paraId="4365BF73"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50" w:type="dxa"/>
            <w:shd w:val="clear" w:color="auto" w:fill="auto"/>
            <w:noWrap/>
            <w:vAlign w:val="center"/>
          </w:tcPr>
          <w:p w14:paraId="316E7938"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0" w:type="dxa"/>
            <w:shd w:val="clear" w:color="auto" w:fill="auto"/>
            <w:noWrap/>
            <w:vAlign w:val="center"/>
          </w:tcPr>
          <w:p w14:paraId="762D1608"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50" w:type="dxa"/>
            <w:shd w:val="clear" w:color="auto" w:fill="auto"/>
            <w:noWrap/>
            <w:vAlign w:val="center"/>
          </w:tcPr>
          <w:p w14:paraId="3AB3360E"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50" w:type="dxa"/>
            <w:shd w:val="clear" w:color="auto" w:fill="auto"/>
            <w:noWrap/>
            <w:vAlign w:val="center"/>
          </w:tcPr>
          <w:p w14:paraId="082D8863"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r>
      <w:tr w:rsidR="00B3408D" w:rsidRPr="004A592F" w14:paraId="2F4C31A3" w14:textId="77777777" w:rsidTr="001F5676">
        <w:trPr>
          <w:trHeight w:val="288"/>
        </w:trPr>
        <w:tc>
          <w:tcPr>
            <w:tcW w:w="1876" w:type="dxa"/>
            <w:shd w:val="clear" w:color="auto" w:fill="auto"/>
            <w:noWrap/>
            <w:vAlign w:val="center"/>
            <w:hideMark/>
          </w:tcPr>
          <w:p w14:paraId="0C12286C" w14:textId="77777777" w:rsidR="00B3408D" w:rsidRPr="004A592F" w:rsidRDefault="00B3408D" w:rsidP="00B3408D">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 – 1</w:t>
            </w:r>
          </w:p>
        </w:tc>
        <w:tc>
          <w:tcPr>
            <w:tcW w:w="850" w:type="dxa"/>
            <w:shd w:val="clear" w:color="auto" w:fill="auto"/>
            <w:noWrap/>
            <w:vAlign w:val="center"/>
          </w:tcPr>
          <w:p w14:paraId="2FA5811D"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50" w:type="dxa"/>
            <w:shd w:val="clear" w:color="auto" w:fill="auto"/>
            <w:noWrap/>
            <w:vAlign w:val="center"/>
          </w:tcPr>
          <w:p w14:paraId="7B57131E" w14:textId="77777777" w:rsidR="00B3408D" w:rsidRPr="004A592F" w:rsidRDefault="00B3408D" w:rsidP="00F42D57">
            <w:pPr>
              <w:spacing w:after="0" w:line="240" w:lineRule="auto"/>
              <w:ind w:hanging="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960" w:type="dxa"/>
            <w:shd w:val="clear" w:color="auto" w:fill="auto"/>
            <w:noWrap/>
            <w:vAlign w:val="center"/>
          </w:tcPr>
          <w:p w14:paraId="56856114"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0" w:type="dxa"/>
            <w:shd w:val="clear" w:color="auto" w:fill="auto"/>
            <w:noWrap/>
            <w:vAlign w:val="center"/>
          </w:tcPr>
          <w:p w14:paraId="55EA2DC8" w14:textId="644222AA"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13EB329E" w14:textId="1581C90E"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41018C86"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0" w:type="dxa"/>
            <w:shd w:val="clear" w:color="auto" w:fill="auto"/>
            <w:noWrap/>
            <w:vAlign w:val="center"/>
          </w:tcPr>
          <w:p w14:paraId="7378C233"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7ABF1057"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50" w:type="dxa"/>
            <w:shd w:val="clear" w:color="auto" w:fill="auto"/>
            <w:noWrap/>
            <w:vAlign w:val="center"/>
          </w:tcPr>
          <w:p w14:paraId="0EE2D684"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8</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r>
      <w:tr w:rsidR="00B3408D" w:rsidRPr="004A592F" w14:paraId="061F6451" w14:textId="77777777" w:rsidTr="001F5676">
        <w:trPr>
          <w:trHeight w:val="288"/>
        </w:trPr>
        <w:tc>
          <w:tcPr>
            <w:tcW w:w="1876" w:type="dxa"/>
            <w:shd w:val="clear" w:color="auto" w:fill="auto"/>
            <w:noWrap/>
            <w:vAlign w:val="center"/>
            <w:hideMark/>
          </w:tcPr>
          <w:p w14:paraId="19191016" w14:textId="77777777" w:rsidR="00B3408D" w:rsidRPr="004A592F" w:rsidRDefault="00B3408D" w:rsidP="00B3408D">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 – 2</w:t>
            </w:r>
          </w:p>
        </w:tc>
        <w:tc>
          <w:tcPr>
            <w:tcW w:w="850" w:type="dxa"/>
            <w:shd w:val="clear" w:color="auto" w:fill="auto"/>
            <w:noWrap/>
            <w:vAlign w:val="center"/>
          </w:tcPr>
          <w:p w14:paraId="718AD59C"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7631B5A8" w14:textId="77777777" w:rsidR="00B3408D" w:rsidRPr="004A592F" w:rsidRDefault="00B3408D" w:rsidP="00F42D57">
            <w:pPr>
              <w:spacing w:after="0" w:line="240" w:lineRule="auto"/>
              <w:ind w:hanging="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960" w:type="dxa"/>
            <w:shd w:val="clear" w:color="auto" w:fill="auto"/>
            <w:noWrap/>
            <w:vAlign w:val="center"/>
          </w:tcPr>
          <w:p w14:paraId="6C12F520"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50" w:type="dxa"/>
            <w:shd w:val="clear" w:color="auto" w:fill="auto"/>
            <w:noWrap/>
            <w:vAlign w:val="center"/>
          </w:tcPr>
          <w:p w14:paraId="2E52B9A6" w14:textId="4BD18199"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36A8D3DF" w14:textId="3A1C6C80"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05D4DF31"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0" w:type="dxa"/>
            <w:shd w:val="clear" w:color="auto" w:fill="auto"/>
            <w:noWrap/>
            <w:vAlign w:val="center"/>
          </w:tcPr>
          <w:p w14:paraId="528311B9"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0" w:type="dxa"/>
            <w:shd w:val="clear" w:color="auto" w:fill="auto"/>
            <w:noWrap/>
            <w:vAlign w:val="center"/>
          </w:tcPr>
          <w:p w14:paraId="094BC585"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8</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0" w:type="dxa"/>
            <w:shd w:val="clear" w:color="auto" w:fill="auto"/>
            <w:noWrap/>
            <w:vAlign w:val="center"/>
          </w:tcPr>
          <w:p w14:paraId="3AE53497"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r>
      <w:tr w:rsidR="00B3408D" w:rsidRPr="004A592F" w14:paraId="38CD2BE0" w14:textId="77777777" w:rsidTr="001F5676">
        <w:trPr>
          <w:trHeight w:val="288"/>
        </w:trPr>
        <w:tc>
          <w:tcPr>
            <w:tcW w:w="1876" w:type="dxa"/>
            <w:shd w:val="clear" w:color="auto" w:fill="auto"/>
            <w:noWrap/>
            <w:vAlign w:val="center"/>
            <w:hideMark/>
          </w:tcPr>
          <w:p w14:paraId="7D583AA2" w14:textId="77777777" w:rsidR="00B3408D" w:rsidRPr="004A592F" w:rsidRDefault="00B3408D" w:rsidP="00B3408D">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 – 3</w:t>
            </w:r>
          </w:p>
        </w:tc>
        <w:tc>
          <w:tcPr>
            <w:tcW w:w="850" w:type="dxa"/>
            <w:shd w:val="clear" w:color="auto" w:fill="auto"/>
            <w:noWrap/>
            <w:vAlign w:val="center"/>
          </w:tcPr>
          <w:p w14:paraId="3CCE566F"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850" w:type="dxa"/>
            <w:shd w:val="clear" w:color="auto" w:fill="auto"/>
            <w:noWrap/>
            <w:vAlign w:val="center"/>
          </w:tcPr>
          <w:p w14:paraId="52D6A449" w14:textId="77777777" w:rsidR="00B3408D" w:rsidRPr="004A592F" w:rsidRDefault="00B3408D" w:rsidP="00F42D57">
            <w:pPr>
              <w:spacing w:after="0" w:line="240" w:lineRule="auto"/>
              <w:ind w:hanging="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960" w:type="dxa"/>
            <w:shd w:val="clear" w:color="auto" w:fill="auto"/>
            <w:noWrap/>
            <w:vAlign w:val="center"/>
          </w:tcPr>
          <w:p w14:paraId="0F6954B2"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0" w:type="dxa"/>
            <w:shd w:val="clear" w:color="auto" w:fill="auto"/>
            <w:noWrap/>
            <w:vAlign w:val="center"/>
          </w:tcPr>
          <w:p w14:paraId="56E2F1C7"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0" w:type="dxa"/>
            <w:shd w:val="clear" w:color="auto" w:fill="auto"/>
            <w:noWrap/>
            <w:vAlign w:val="center"/>
          </w:tcPr>
          <w:p w14:paraId="5B623336"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0" w:type="dxa"/>
            <w:shd w:val="clear" w:color="auto" w:fill="auto"/>
            <w:noWrap/>
            <w:vAlign w:val="center"/>
          </w:tcPr>
          <w:p w14:paraId="6153893D" w14:textId="67022EE3"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5CC4D535" w14:textId="429659C7"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06342940" w14:textId="7F4B3677"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1A1F2B4F" w14:textId="4D38EB4B" w:rsidR="00B3408D" w:rsidRPr="004A592F" w:rsidRDefault="00D55C43" w:rsidP="00B3408D">
            <w:pPr>
              <w:spacing w:after="0" w:line="240" w:lineRule="auto"/>
              <w:ind w:firstLine="5"/>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r>
      <w:tr w:rsidR="00B3408D" w:rsidRPr="004A592F" w14:paraId="1D586F9A" w14:textId="77777777" w:rsidTr="001F5676">
        <w:trPr>
          <w:trHeight w:val="288"/>
        </w:trPr>
        <w:tc>
          <w:tcPr>
            <w:tcW w:w="1876" w:type="dxa"/>
            <w:shd w:val="clear" w:color="auto" w:fill="auto"/>
            <w:noWrap/>
            <w:vAlign w:val="center"/>
            <w:hideMark/>
          </w:tcPr>
          <w:p w14:paraId="3218F05D" w14:textId="77777777" w:rsidR="00B3408D" w:rsidRPr="004A592F" w:rsidRDefault="00B3408D" w:rsidP="00B3408D">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ІІІ – 1</w:t>
            </w:r>
          </w:p>
        </w:tc>
        <w:tc>
          <w:tcPr>
            <w:tcW w:w="850" w:type="dxa"/>
            <w:shd w:val="clear" w:color="auto" w:fill="auto"/>
            <w:noWrap/>
            <w:vAlign w:val="center"/>
          </w:tcPr>
          <w:p w14:paraId="01C9FE46"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50" w:type="dxa"/>
            <w:shd w:val="clear" w:color="auto" w:fill="auto"/>
            <w:noWrap/>
            <w:vAlign w:val="center"/>
          </w:tcPr>
          <w:p w14:paraId="3D2C78C7" w14:textId="77777777" w:rsidR="00B3408D" w:rsidRPr="004A592F" w:rsidRDefault="00B3408D" w:rsidP="00F42D57">
            <w:pPr>
              <w:spacing w:after="0" w:line="240" w:lineRule="auto"/>
              <w:ind w:hanging="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960" w:type="dxa"/>
            <w:shd w:val="clear" w:color="auto" w:fill="auto"/>
            <w:noWrap/>
            <w:vAlign w:val="center"/>
          </w:tcPr>
          <w:p w14:paraId="6E2250B8"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50" w:type="dxa"/>
            <w:shd w:val="clear" w:color="auto" w:fill="auto"/>
            <w:noWrap/>
            <w:vAlign w:val="center"/>
          </w:tcPr>
          <w:p w14:paraId="357F9F4D"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7C0F1B92"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0" w:type="dxa"/>
            <w:shd w:val="clear" w:color="auto" w:fill="auto"/>
            <w:noWrap/>
            <w:vAlign w:val="center"/>
          </w:tcPr>
          <w:p w14:paraId="6AA19EA2" w14:textId="02C8D766"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554F8A96" w14:textId="7DAC10B8"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67847F3F" w14:textId="23B187A9"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61127D29"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9</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r>
      <w:tr w:rsidR="00B3408D" w:rsidRPr="004A592F" w14:paraId="37B9ED2A" w14:textId="77777777" w:rsidTr="001F5676">
        <w:trPr>
          <w:trHeight w:val="288"/>
        </w:trPr>
        <w:tc>
          <w:tcPr>
            <w:tcW w:w="1876" w:type="dxa"/>
            <w:shd w:val="clear" w:color="auto" w:fill="auto"/>
            <w:noWrap/>
            <w:vAlign w:val="center"/>
            <w:hideMark/>
          </w:tcPr>
          <w:p w14:paraId="64BE3B63" w14:textId="77777777" w:rsidR="00B3408D" w:rsidRPr="004A592F" w:rsidRDefault="00B3408D" w:rsidP="00B3408D">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ІІІ – 2</w:t>
            </w:r>
          </w:p>
        </w:tc>
        <w:tc>
          <w:tcPr>
            <w:tcW w:w="850" w:type="dxa"/>
            <w:shd w:val="clear" w:color="auto" w:fill="auto"/>
            <w:noWrap/>
            <w:vAlign w:val="center"/>
          </w:tcPr>
          <w:p w14:paraId="70F93A00"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50" w:type="dxa"/>
            <w:shd w:val="clear" w:color="auto" w:fill="auto"/>
            <w:noWrap/>
            <w:vAlign w:val="center"/>
          </w:tcPr>
          <w:p w14:paraId="24330791" w14:textId="77777777" w:rsidR="00B3408D" w:rsidRPr="004A592F" w:rsidRDefault="00B3408D" w:rsidP="00F42D57">
            <w:pPr>
              <w:spacing w:after="0" w:line="240" w:lineRule="auto"/>
              <w:ind w:hanging="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960" w:type="dxa"/>
            <w:shd w:val="clear" w:color="auto" w:fill="auto"/>
            <w:noWrap/>
            <w:vAlign w:val="center"/>
          </w:tcPr>
          <w:p w14:paraId="54B5F900"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50" w:type="dxa"/>
            <w:shd w:val="clear" w:color="auto" w:fill="auto"/>
            <w:noWrap/>
            <w:vAlign w:val="center"/>
          </w:tcPr>
          <w:p w14:paraId="641E5F19"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12</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50" w:type="dxa"/>
            <w:shd w:val="clear" w:color="auto" w:fill="auto"/>
            <w:noWrap/>
            <w:vAlign w:val="center"/>
          </w:tcPr>
          <w:p w14:paraId="7C3323B6"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8</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50" w:type="dxa"/>
            <w:shd w:val="clear" w:color="auto" w:fill="auto"/>
            <w:noWrap/>
            <w:vAlign w:val="center"/>
          </w:tcPr>
          <w:p w14:paraId="50EDF0F5" w14:textId="6CED89CF"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5341B9F3" w14:textId="1F0D5CB3"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1B877C0B" w14:textId="3D639B83"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37AE6087"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r>
      <w:tr w:rsidR="00B3408D" w:rsidRPr="004A592F" w14:paraId="52D47836" w14:textId="77777777" w:rsidTr="001F5676">
        <w:trPr>
          <w:trHeight w:val="288"/>
        </w:trPr>
        <w:tc>
          <w:tcPr>
            <w:tcW w:w="1876" w:type="dxa"/>
            <w:shd w:val="clear" w:color="auto" w:fill="auto"/>
            <w:noWrap/>
            <w:vAlign w:val="center"/>
            <w:hideMark/>
          </w:tcPr>
          <w:p w14:paraId="72CC4117" w14:textId="77777777" w:rsidR="00B3408D" w:rsidRPr="004A592F" w:rsidRDefault="00B3408D" w:rsidP="00B3408D">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ІІІ – 3</w:t>
            </w:r>
          </w:p>
        </w:tc>
        <w:tc>
          <w:tcPr>
            <w:tcW w:w="850" w:type="dxa"/>
            <w:shd w:val="clear" w:color="auto" w:fill="auto"/>
            <w:noWrap/>
            <w:vAlign w:val="center"/>
          </w:tcPr>
          <w:p w14:paraId="20EA1195" w14:textId="77777777" w:rsidR="00B3408D" w:rsidRPr="004A592F" w:rsidRDefault="00B3408D" w:rsidP="00F42D57">
            <w:pPr>
              <w:spacing w:after="0" w:line="240" w:lineRule="auto"/>
              <w:ind w:firstLine="5"/>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50" w:type="dxa"/>
            <w:shd w:val="clear" w:color="auto" w:fill="auto"/>
            <w:noWrap/>
            <w:vAlign w:val="center"/>
          </w:tcPr>
          <w:p w14:paraId="4EB14F47" w14:textId="77777777" w:rsidR="00B3408D" w:rsidRPr="004A592F" w:rsidRDefault="00B3408D" w:rsidP="00F42D57">
            <w:pPr>
              <w:spacing w:after="0" w:line="240" w:lineRule="auto"/>
              <w:ind w:hanging="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960" w:type="dxa"/>
            <w:shd w:val="clear" w:color="auto" w:fill="auto"/>
            <w:noWrap/>
            <w:vAlign w:val="center"/>
          </w:tcPr>
          <w:p w14:paraId="033B41F2"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50" w:type="dxa"/>
            <w:shd w:val="clear" w:color="auto" w:fill="auto"/>
            <w:noWrap/>
            <w:vAlign w:val="center"/>
          </w:tcPr>
          <w:p w14:paraId="135D8AA7"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8</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50" w:type="dxa"/>
            <w:shd w:val="clear" w:color="auto" w:fill="auto"/>
            <w:noWrap/>
            <w:vAlign w:val="center"/>
          </w:tcPr>
          <w:p w14:paraId="069CE2D2"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50" w:type="dxa"/>
            <w:shd w:val="clear" w:color="auto" w:fill="auto"/>
            <w:noWrap/>
            <w:vAlign w:val="center"/>
          </w:tcPr>
          <w:p w14:paraId="4BB6349B" w14:textId="297F3341" w:rsidR="00B3408D" w:rsidRPr="004A592F" w:rsidRDefault="00D55C43" w:rsidP="00B3408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50" w:type="dxa"/>
            <w:shd w:val="clear" w:color="auto" w:fill="auto"/>
            <w:noWrap/>
            <w:vAlign w:val="center"/>
          </w:tcPr>
          <w:p w14:paraId="280CFF7E"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9</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50" w:type="dxa"/>
            <w:shd w:val="clear" w:color="auto" w:fill="auto"/>
            <w:noWrap/>
            <w:vAlign w:val="center"/>
          </w:tcPr>
          <w:p w14:paraId="15B24ECE" w14:textId="77777777" w:rsidR="00B3408D" w:rsidRPr="004A592F" w:rsidRDefault="00B3408D" w:rsidP="00F42D57">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F42D57"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50" w:type="dxa"/>
            <w:shd w:val="clear" w:color="auto" w:fill="auto"/>
            <w:noWrap/>
            <w:vAlign w:val="center"/>
          </w:tcPr>
          <w:p w14:paraId="7485F9FE" w14:textId="573D5A12" w:rsidR="00B3408D" w:rsidRPr="004A592F" w:rsidRDefault="00D55C43" w:rsidP="00B3408D">
            <w:pPr>
              <w:spacing w:after="0" w:line="240" w:lineRule="auto"/>
              <w:ind w:firstLine="5"/>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r>
    </w:tbl>
    <w:p w14:paraId="3C14A209" w14:textId="77777777" w:rsidR="00B3408D" w:rsidRPr="004A592F" w:rsidRDefault="00B3408D" w:rsidP="00B3408D">
      <w:pPr>
        <w:spacing w:after="0" w:line="240" w:lineRule="auto"/>
        <w:ind w:firstLine="284"/>
        <w:jc w:val="both"/>
        <w:rPr>
          <w:rFonts w:ascii="Times New Roman" w:hAnsi="Times New Roman"/>
          <w:lang w:val="en-US"/>
        </w:rPr>
      </w:pPr>
    </w:p>
    <w:p w14:paraId="7E98F4C1" w14:textId="6308ADE8" w:rsidR="00B3408D" w:rsidRPr="004A592F" w:rsidRDefault="00D97679" w:rsidP="00B3408D">
      <w:pPr>
        <w:spacing w:after="0" w:line="240" w:lineRule="auto"/>
        <w:ind w:firstLine="284"/>
        <w:jc w:val="both"/>
        <w:rPr>
          <w:rFonts w:ascii="Times New Roman" w:hAnsi="Times New Roman"/>
          <w:lang w:val="en-US"/>
        </w:rPr>
      </w:pPr>
      <w:proofErr w:type="spellStart"/>
      <w:r w:rsidRPr="004A592F">
        <w:rPr>
          <w:rFonts w:ascii="Times New Roman" w:hAnsi="Times New Roman"/>
          <w:lang w:val="en-US"/>
        </w:rPr>
        <w:t>Analy</w:t>
      </w:r>
      <w:r w:rsidR="004D5C85">
        <w:rPr>
          <w:rFonts w:ascii="Times New Roman" w:hAnsi="Times New Roman"/>
          <w:lang w:val="en-US"/>
        </w:rPr>
        <w:t>s</w:t>
      </w:r>
      <w:r w:rsidRPr="004A592F">
        <w:rPr>
          <w:rFonts w:ascii="Times New Roman" w:hAnsi="Times New Roman"/>
          <w:lang w:val="en-US"/>
        </w:rPr>
        <w:t>ing</w:t>
      </w:r>
      <w:proofErr w:type="spellEnd"/>
      <w:r w:rsidRPr="004A592F">
        <w:rPr>
          <w:rFonts w:ascii="Times New Roman" w:hAnsi="Times New Roman"/>
          <w:lang w:val="en-US"/>
        </w:rPr>
        <w:t xml:space="preserve"> the data from Table 5, we can conclude that the economic attractiveness of improving the thermal protection of the building and using renewable energy sources will increase with a 3% increase in tariffs for natural gas and electricity and a 2% increase in sunflower husk pellets. The impact of a more significant increase in tariffs on the feasibility of </w:t>
      </w:r>
      <w:proofErr w:type="spellStart"/>
      <w:r w:rsidRPr="004A592F">
        <w:rPr>
          <w:rFonts w:ascii="Times New Roman" w:hAnsi="Times New Roman"/>
          <w:lang w:val="en-US"/>
        </w:rPr>
        <w:t>moderni</w:t>
      </w:r>
      <w:r w:rsidR="004D5C85">
        <w:rPr>
          <w:rFonts w:ascii="Times New Roman" w:hAnsi="Times New Roman"/>
          <w:lang w:val="en-US"/>
        </w:rPr>
        <w:t>s</w:t>
      </w:r>
      <w:r w:rsidRPr="004A592F">
        <w:rPr>
          <w:rFonts w:ascii="Times New Roman" w:hAnsi="Times New Roman"/>
          <w:lang w:val="en-US"/>
        </w:rPr>
        <w:t>ing</w:t>
      </w:r>
      <w:proofErr w:type="spellEnd"/>
      <w:r w:rsidRPr="004A592F">
        <w:rPr>
          <w:rFonts w:ascii="Times New Roman" w:hAnsi="Times New Roman"/>
          <w:lang w:val="en-US"/>
        </w:rPr>
        <w:t xml:space="preserve"> a building by improving its thermal protection and using renewable energy sources for heat supply will be assessed at a fixed rate of tariff growth:</w:t>
      </w:r>
      <w:r w:rsidR="00B3408D" w:rsidRPr="004A592F">
        <w:rPr>
          <w:rFonts w:ascii="Times New Roman" w:hAnsi="Times New Roman"/>
          <w:lang w:val="en-US"/>
        </w:rPr>
        <w:t xml:space="preserve"> </w:t>
      </w:r>
      <w:r w:rsidR="00DB374A">
        <w:rPr>
          <w:rFonts w:ascii="Times New Roman" w:hAnsi="Times New Roman"/>
          <w:lang w:val="en-US"/>
        </w:rPr>
        <w:br/>
      </w:r>
      <w:r w:rsidRPr="004A592F">
        <w:rPr>
          <w:rFonts w:ascii="Times New Roman" w:hAnsi="Times New Roman"/>
          <w:lang w:val="en-US"/>
        </w:rPr>
        <w:t>L</w:t>
      </w:r>
      <w:r w:rsidR="00B3408D" w:rsidRPr="004A592F">
        <w:rPr>
          <w:rFonts w:ascii="Times New Roman" w:hAnsi="Times New Roman"/>
          <w:vertAlign w:val="subscript"/>
          <w:lang w:val="en-US"/>
        </w:rPr>
        <w:t>1</w:t>
      </w:r>
      <w:r w:rsidR="00B3408D" w:rsidRPr="004A592F">
        <w:rPr>
          <w:rFonts w:ascii="Times New Roman" w:hAnsi="Times New Roman"/>
          <w:lang w:val="en-US"/>
        </w:rPr>
        <w:t xml:space="preserve"> – 20%, </w:t>
      </w:r>
      <w:r w:rsidRPr="004A592F">
        <w:rPr>
          <w:rFonts w:ascii="Times New Roman" w:hAnsi="Times New Roman"/>
          <w:lang w:val="en-US"/>
        </w:rPr>
        <w:t>L</w:t>
      </w:r>
      <w:r w:rsidR="00B3408D" w:rsidRPr="004A592F">
        <w:rPr>
          <w:rFonts w:ascii="Times New Roman" w:hAnsi="Times New Roman"/>
          <w:vertAlign w:val="subscript"/>
          <w:lang w:val="en-US"/>
        </w:rPr>
        <w:t>2</w:t>
      </w:r>
      <w:r w:rsidR="00B3408D" w:rsidRPr="004A592F">
        <w:rPr>
          <w:rFonts w:ascii="Times New Roman" w:hAnsi="Times New Roman"/>
          <w:lang w:val="en-US"/>
        </w:rPr>
        <w:t xml:space="preserve"> – 12</w:t>
      </w:r>
      <w:r w:rsidRPr="004A592F">
        <w:rPr>
          <w:rFonts w:ascii="Times New Roman" w:hAnsi="Times New Roman"/>
          <w:lang w:val="en-US"/>
        </w:rPr>
        <w:t>.</w:t>
      </w:r>
      <w:r w:rsidR="00B3408D" w:rsidRPr="004A592F">
        <w:rPr>
          <w:rFonts w:ascii="Times New Roman" w:hAnsi="Times New Roman"/>
          <w:lang w:val="en-US"/>
        </w:rPr>
        <w:t xml:space="preserve">5%, </w:t>
      </w:r>
      <w:r w:rsidRPr="004A592F">
        <w:rPr>
          <w:rFonts w:ascii="Times New Roman" w:hAnsi="Times New Roman"/>
          <w:lang w:val="en-US"/>
        </w:rPr>
        <w:t>L</w:t>
      </w:r>
      <w:r w:rsidR="00B3408D" w:rsidRPr="004A592F">
        <w:rPr>
          <w:rFonts w:ascii="Times New Roman" w:hAnsi="Times New Roman"/>
          <w:vertAlign w:val="subscript"/>
          <w:lang w:val="en-US"/>
        </w:rPr>
        <w:t>3</w:t>
      </w:r>
      <w:r w:rsidR="00B3408D" w:rsidRPr="004A592F">
        <w:rPr>
          <w:rFonts w:ascii="Times New Roman" w:hAnsi="Times New Roman"/>
          <w:lang w:val="en-US"/>
        </w:rPr>
        <w:t xml:space="preserve"> – 18%. </w:t>
      </w:r>
      <w:r w:rsidR="00220261" w:rsidRPr="004A592F">
        <w:rPr>
          <w:rFonts w:ascii="Times New Roman" w:hAnsi="Times New Roman"/>
          <w:lang w:val="en-US"/>
        </w:rPr>
        <w:t xml:space="preserve">The discount rate will be chosen at the level of the reduced rate E = 10%, </w:t>
      </w:r>
      <w:r w:rsidR="00220261" w:rsidRPr="004A592F">
        <w:rPr>
          <w:rFonts w:ascii="Times New Roman" w:hAnsi="Times New Roman"/>
          <w:lang w:val="en-US"/>
        </w:rPr>
        <w:lastRenderedPageBreak/>
        <w:t>which was considered by the Energy Department of the European Commission when mode</w:t>
      </w:r>
      <w:r w:rsidR="004D5C85">
        <w:rPr>
          <w:rFonts w:ascii="Times New Roman" w:hAnsi="Times New Roman"/>
          <w:lang w:val="en-US"/>
        </w:rPr>
        <w:t>l</w:t>
      </w:r>
      <w:r w:rsidR="00220261" w:rsidRPr="004A592F">
        <w:rPr>
          <w:rFonts w:ascii="Times New Roman" w:hAnsi="Times New Roman"/>
          <w:lang w:val="en-US"/>
        </w:rPr>
        <w:t xml:space="preserve">ling scenarios for achieving the energy efficiency target by 2030 </w:t>
      </w:r>
      <w:r w:rsidR="00F00068" w:rsidRPr="00563D9C">
        <w:rPr>
          <w:rFonts w:ascii="Times New Roman" w:hAnsi="Times New Roman"/>
          <w:lang w:val="en-US"/>
        </w:rPr>
        <w:t>(Battle of the Discount Rates)</w:t>
      </w:r>
      <w:r w:rsidR="00220261" w:rsidRPr="004A592F">
        <w:rPr>
          <w:rFonts w:ascii="Times New Roman" w:hAnsi="Times New Roman"/>
          <w:lang w:val="en-US"/>
        </w:rPr>
        <w:t xml:space="preserve">. The points of intersection of the lines of integral heating costs, </w:t>
      </w:r>
      <w:r w:rsidR="004D5C85">
        <w:rPr>
          <w:rFonts w:ascii="Times New Roman" w:hAnsi="Times New Roman"/>
          <w:lang w:val="en-US"/>
        </w:rPr>
        <w:t>considering</w:t>
      </w:r>
      <w:r w:rsidR="00220261" w:rsidRPr="004A592F">
        <w:rPr>
          <w:rFonts w:ascii="Times New Roman" w:hAnsi="Times New Roman"/>
          <w:lang w:val="en-US"/>
        </w:rPr>
        <w:t xml:space="preserve"> the above parameters, are shown in Table 6.</w:t>
      </w:r>
      <w:r w:rsidR="00B3408D" w:rsidRPr="004A592F">
        <w:rPr>
          <w:rFonts w:ascii="Times New Roman" w:hAnsi="Times New Roman"/>
          <w:lang w:val="en-US"/>
        </w:rPr>
        <w:t xml:space="preserve"> </w:t>
      </w:r>
    </w:p>
    <w:p w14:paraId="4CF286E0" w14:textId="77777777" w:rsidR="001C7942" w:rsidRPr="004A592F" w:rsidRDefault="001C7942" w:rsidP="00B3408D">
      <w:pPr>
        <w:spacing w:after="0" w:line="240" w:lineRule="auto"/>
        <w:ind w:firstLine="284"/>
        <w:jc w:val="both"/>
        <w:rPr>
          <w:rFonts w:ascii="Times New Roman" w:hAnsi="Times New Roman"/>
          <w:lang w:val="en-US"/>
        </w:rPr>
      </w:pPr>
    </w:p>
    <w:p w14:paraId="0F2D1579" w14:textId="3F34BFF6" w:rsidR="00B3408D" w:rsidRPr="004A592F" w:rsidRDefault="00746083" w:rsidP="001F5676">
      <w:pPr>
        <w:pStyle w:val="Rtab"/>
      </w:pPr>
      <w:proofErr w:type="spellStart"/>
      <w:r w:rsidRPr="004A592F">
        <w:rPr>
          <w:b/>
        </w:rPr>
        <w:t>Table</w:t>
      </w:r>
      <w:proofErr w:type="spellEnd"/>
      <w:r w:rsidR="00B3408D" w:rsidRPr="004A592F">
        <w:rPr>
          <w:b/>
        </w:rPr>
        <w:t xml:space="preserve"> 6</w:t>
      </w:r>
      <w:r w:rsidR="00B3408D" w:rsidRPr="001F5676">
        <w:rPr>
          <w:b/>
          <w:bCs/>
        </w:rPr>
        <w:t>.</w:t>
      </w:r>
      <w:r w:rsidR="001C7942" w:rsidRPr="004A592F">
        <w:t xml:space="preserve"> </w:t>
      </w:r>
      <w:r w:rsidR="004D5C85">
        <w:t xml:space="preserve">The </w:t>
      </w:r>
      <w:proofErr w:type="spellStart"/>
      <w:r w:rsidR="004D5C85">
        <w:t>p</w:t>
      </w:r>
      <w:r w:rsidRPr="004A592F">
        <w:t>ayback</w:t>
      </w:r>
      <w:proofErr w:type="spellEnd"/>
      <w:r w:rsidRPr="004A592F">
        <w:t xml:space="preserve"> period for </w:t>
      </w:r>
      <w:proofErr w:type="spellStart"/>
      <w:r w:rsidRPr="004A592F">
        <w:t>implementing</w:t>
      </w:r>
      <w:proofErr w:type="spellEnd"/>
      <w:r w:rsidRPr="004A592F">
        <w:t xml:space="preserve"> </w:t>
      </w:r>
      <w:proofErr w:type="spellStart"/>
      <w:r w:rsidRPr="004A592F">
        <w:t>energy</w:t>
      </w:r>
      <w:proofErr w:type="spellEnd"/>
      <w:r w:rsidRPr="004A592F">
        <w:t xml:space="preserve"> </w:t>
      </w:r>
      <w:proofErr w:type="spellStart"/>
      <w:r w:rsidRPr="004A592F">
        <w:t>efficiency</w:t>
      </w:r>
      <w:proofErr w:type="spellEnd"/>
      <w:r w:rsidRPr="004A592F">
        <w:t xml:space="preserve"> </w:t>
      </w:r>
      <w:proofErr w:type="spellStart"/>
      <w:r w:rsidRPr="004A592F">
        <w:t>measures</w:t>
      </w:r>
      <w:proofErr w:type="spellEnd"/>
      <w:r w:rsidRPr="004A592F">
        <w:t xml:space="preserve"> in a </w:t>
      </w:r>
      <w:proofErr w:type="spellStart"/>
      <w:r w:rsidRPr="004A592F">
        <w:t>building</w:t>
      </w:r>
      <w:proofErr w:type="spellEnd"/>
      <w:r w:rsidRPr="004A592F">
        <w:t xml:space="preserve">, </w:t>
      </w:r>
      <w:proofErr w:type="spellStart"/>
      <w:r w:rsidRPr="004A592F">
        <w:t>taking</w:t>
      </w:r>
      <w:proofErr w:type="spellEnd"/>
      <w:r w:rsidRPr="004A592F">
        <w:t xml:space="preserve"> </w:t>
      </w:r>
      <w:proofErr w:type="spellStart"/>
      <w:r w:rsidRPr="004A592F">
        <w:t>into</w:t>
      </w:r>
      <w:proofErr w:type="spellEnd"/>
      <w:r w:rsidRPr="004A592F">
        <w:t xml:space="preserve"> </w:t>
      </w:r>
      <w:proofErr w:type="spellStart"/>
      <w:r w:rsidRPr="004A592F">
        <w:t>account</w:t>
      </w:r>
      <w:proofErr w:type="spellEnd"/>
      <w:r w:rsidRPr="004A592F">
        <w:t xml:space="preserve"> a</w:t>
      </w:r>
      <w:r w:rsidR="00281740">
        <w:t> </w:t>
      </w:r>
      <w:proofErr w:type="spellStart"/>
      <w:r w:rsidRPr="004A592F">
        <w:t>significant</w:t>
      </w:r>
      <w:proofErr w:type="spellEnd"/>
      <w:r w:rsidRPr="004A592F">
        <w:t xml:space="preserve"> </w:t>
      </w:r>
      <w:proofErr w:type="spellStart"/>
      <w:r w:rsidRPr="004A592F">
        <w:t>increase</w:t>
      </w:r>
      <w:proofErr w:type="spellEnd"/>
      <w:r w:rsidRPr="004A592F">
        <w:t xml:space="preserve"> in </w:t>
      </w:r>
      <w:proofErr w:type="spellStart"/>
      <w:r w:rsidRPr="004A592F">
        <w:t>energy</w:t>
      </w:r>
      <w:proofErr w:type="spellEnd"/>
      <w:r w:rsidRPr="004A592F">
        <w:t xml:space="preserve"> </w:t>
      </w:r>
      <w:proofErr w:type="spellStart"/>
      <w:r w:rsidRPr="004A592F">
        <w:t>prices</w:t>
      </w:r>
      <w:proofErr w:type="spellEnd"/>
      <w:r w:rsidRPr="004A592F">
        <w:t xml:space="preserve"> and </w:t>
      </w:r>
      <w:proofErr w:type="spellStart"/>
      <w:r w:rsidRPr="004A592F">
        <w:t>discount</w:t>
      </w:r>
      <w:proofErr w:type="spellEnd"/>
      <w:r w:rsidRPr="004A592F">
        <w:t xml:space="preserve"> </w:t>
      </w:r>
      <w:proofErr w:type="spellStart"/>
      <w:r w:rsidRPr="004A592F">
        <w:t>rates</w:t>
      </w:r>
      <w:proofErr w:type="spell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846"/>
        <w:gridCol w:w="847"/>
        <w:gridCol w:w="847"/>
        <w:gridCol w:w="847"/>
        <w:gridCol w:w="847"/>
        <w:gridCol w:w="847"/>
        <w:gridCol w:w="847"/>
        <w:gridCol w:w="847"/>
        <w:gridCol w:w="847"/>
      </w:tblGrid>
      <w:tr w:rsidR="00B3408D" w:rsidRPr="001F5676" w14:paraId="6E83CA64" w14:textId="77777777" w:rsidTr="008900FC">
        <w:trPr>
          <w:trHeight w:val="850"/>
        </w:trPr>
        <w:tc>
          <w:tcPr>
            <w:tcW w:w="1876" w:type="dxa"/>
            <w:shd w:val="clear" w:color="auto" w:fill="auto"/>
            <w:noWrap/>
            <w:vAlign w:val="center"/>
            <w:hideMark/>
          </w:tcPr>
          <w:p w14:paraId="65234586" w14:textId="5A2DFD7F" w:rsidR="00B3408D" w:rsidRPr="001F5676" w:rsidRDefault="00746083" w:rsidP="001C7942">
            <w:pPr>
              <w:spacing w:after="0" w:line="240" w:lineRule="auto"/>
              <w:jc w:val="center"/>
              <w:rPr>
                <w:rFonts w:ascii="Times New Roman" w:eastAsia="Times New Roman" w:hAnsi="Times New Roman"/>
                <w:bCs/>
                <w:lang w:val="en-US"/>
              </w:rPr>
            </w:pPr>
            <w:r w:rsidRPr="001F5676">
              <w:rPr>
                <w:rFonts w:ascii="Times New Roman" w:eastAsia="Times New Roman" w:hAnsi="Times New Roman"/>
                <w:bCs/>
                <w:lang w:val="en-US"/>
              </w:rPr>
              <w:t xml:space="preserve">Building thermal protection </w:t>
            </w:r>
            <w:r w:rsidR="00E20835">
              <w:rPr>
                <w:rFonts w:ascii="Times New Roman" w:eastAsia="Times New Roman" w:hAnsi="Times New Roman"/>
                <w:bCs/>
                <w:lang w:val="en-US"/>
              </w:rPr>
              <w:br/>
            </w:r>
            <w:r w:rsidRPr="001F5676">
              <w:rPr>
                <w:rFonts w:ascii="Times New Roman" w:eastAsia="Times New Roman" w:hAnsi="Times New Roman"/>
                <w:bCs/>
                <w:lang w:val="en-US"/>
              </w:rPr>
              <w:t>– Energy source</w:t>
            </w:r>
          </w:p>
        </w:tc>
        <w:tc>
          <w:tcPr>
            <w:tcW w:w="846" w:type="dxa"/>
            <w:shd w:val="clear" w:color="auto" w:fill="auto"/>
            <w:noWrap/>
            <w:vAlign w:val="center"/>
            <w:hideMark/>
          </w:tcPr>
          <w:p w14:paraId="152F078A" w14:textId="77777777" w:rsidR="00B3408D" w:rsidRPr="001F5676" w:rsidRDefault="00B3408D" w:rsidP="001C7942">
            <w:pPr>
              <w:spacing w:after="0" w:line="240" w:lineRule="auto"/>
              <w:ind w:firstLine="10"/>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 – 1</w:t>
            </w:r>
          </w:p>
        </w:tc>
        <w:tc>
          <w:tcPr>
            <w:tcW w:w="847" w:type="dxa"/>
            <w:shd w:val="clear" w:color="auto" w:fill="auto"/>
            <w:noWrap/>
            <w:vAlign w:val="center"/>
            <w:hideMark/>
          </w:tcPr>
          <w:p w14:paraId="4840F526" w14:textId="77777777" w:rsidR="00B3408D" w:rsidRPr="001F5676" w:rsidRDefault="00B3408D" w:rsidP="001C7942">
            <w:pPr>
              <w:spacing w:after="0" w:line="240" w:lineRule="auto"/>
              <w:ind w:firstLine="9"/>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 – 2</w:t>
            </w:r>
          </w:p>
        </w:tc>
        <w:tc>
          <w:tcPr>
            <w:tcW w:w="847" w:type="dxa"/>
            <w:shd w:val="clear" w:color="auto" w:fill="auto"/>
            <w:noWrap/>
            <w:vAlign w:val="center"/>
            <w:hideMark/>
          </w:tcPr>
          <w:p w14:paraId="7F099F99" w14:textId="77777777" w:rsidR="00B3408D" w:rsidRPr="001F5676" w:rsidRDefault="00B3408D" w:rsidP="001C7942">
            <w:pPr>
              <w:spacing w:after="0" w:line="240" w:lineRule="auto"/>
              <w:ind w:firstLine="7"/>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 – 1, 3</w:t>
            </w:r>
          </w:p>
        </w:tc>
        <w:tc>
          <w:tcPr>
            <w:tcW w:w="847" w:type="dxa"/>
            <w:shd w:val="clear" w:color="auto" w:fill="auto"/>
            <w:noWrap/>
            <w:vAlign w:val="center"/>
            <w:hideMark/>
          </w:tcPr>
          <w:p w14:paraId="2F3CA6E5" w14:textId="77777777" w:rsidR="00B3408D" w:rsidRPr="001F5676" w:rsidRDefault="00B3408D" w:rsidP="001C7942">
            <w:pPr>
              <w:spacing w:after="0" w:line="240" w:lineRule="auto"/>
              <w:ind w:firstLine="27"/>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 – 1</w:t>
            </w:r>
          </w:p>
        </w:tc>
        <w:tc>
          <w:tcPr>
            <w:tcW w:w="847" w:type="dxa"/>
            <w:shd w:val="clear" w:color="auto" w:fill="auto"/>
            <w:noWrap/>
            <w:vAlign w:val="center"/>
            <w:hideMark/>
          </w:tcPr>
          <w:p w14:paraId="44DB71D6" w14:textId="77777777" w:rsidR="00B3408D" w:rsidRPr="001F5676" w:rsidRDefault="00B3408D" w:rsidP="001C7942">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 – 2</w:t>
            </w:r>
          </w:p>
        </w:tc>
        <w:tc>
          <w:tcPr>
            <w:tcW w:w="847" w:type="dxa"/>
            <w:shd w:val="clear" w:color="auto" w:fill="auto"/>
            <w:noWrap/>
            <w:vAlign w:val="center"/>
            <w:hideMark/>
          </w:tcPr>
          <w:p w14:paraId="31AB05FF" w14:textId="77777777" w:rsidR="00B3408D" w:rsidRPr="001F5676" w:rsidRDefault="00B3408D" w:rsidP="001C7942">
            <w:pPr>
              <w:spacing w:after="0" w:line="240" w:lineRule="auto"/>
              <w:ind w:firstLine="36"/>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 – 3</w:t>
            </w:r>
          </w:p>
        </w:tc>
        <w:tc>
          <w:tcPr>
            <w:tcW w:w="847" w:type="dxa"/>
            <w:shd w:val="clear" w:color="auto" w:fill="auto"/>
            <w:noWrap/>
            <w:vAlign w:val="center"/>
            <w:hideMark/>
          </w:tcPr>
          <w:p w14:paraId="0911C6A8" w14:textId="77777777" w:rsidR="00B3408D" w:rsidRPr="001F5676" w:rsidRDefault="00B3408D" w:rsidP="001C7942">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ІІІ – 1</w:t>
            </w:r>
          </w:p>
        </w:tc>
        <w:tc>
          <w:tcPr>
            <w:tcW w:w="847" w:type="dxa"/>
            <w:shd w:val="clear" w:color="auto" w:fill="auto"/>
            <w:noWrap/>
            <w:vAlign w:val="center"/>
            <w:hideMark/>
          </w:tcPr>
          <w:p w14:paraId="09FEC54B" w14:textId="77777777" w:rsidR="00B3408D" w:rsidRPr="001F5676" w:rsidRDefault="00B3408D" w:rsidP="001C7942">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ІІІ – 2</w:t>
            </w:r>
          </w:p>
        </w:tc>
        <w:tc>
          <w:tcPr>
            <w:tcW w:w="847" w:type="dxa"/>
            <w:shd w:val="clear" w:color="auto" w:fill="auto"/>
            <w:noWrap/>
            <w:vAlign w:val="center"/>
            <w:hideMark/>
          </w:tcPr>
          <w:p w14:paraId="0DE392CF" w14:textId="77777777" w:rsidR="00B3408D" w:rsidRPr="001F5676" w:rsidRDefault="00B3408D" w:rsidP="001C7942">
            <w:pPr>
              <w:spacing w:after="0" w:line="240" w:lineRule="auto"/>
              <w:jc w:val="center"/>
              <w:rPr>
                <w:rFonts w:ascii="Times New Roman" w:eastAsia="Times New Roman" w:hAnsi="Times New Roman"/>
                <w:bCs/>
                <w:color w:val="000000"/>
                <w:lang w:val="en-US"/>
              </w:rPr>
            </w:pPr>
            <w:r w:rsidRPr="001F5676">
              <w:rPr>
                <w:rFonts w:ascii="Times New Roman" w:eastAsia="Times New Roman" w:hAnsi="Times New Roman"/>
                <w:bCs/>
                <w:color w:val="000000"/>
                <w:lang w:val="en-US"/>
              </w:rPr>
              <w:t>ІІІ – 3</w:t>
            </w:r>
          </w:p>
        </w:tc>
      </w:tr>
      <w:tr w:rsidR="00B3408D" w:rsidRPr="004A592F" w14:paraId="4F194195" w14:textId="77777777" w:rsidTr="00685FFB">
        <w:trPr>
          <w:trHeight w:val="288"/>
        </w:trPr>
        <w:tc>
          <w:tcPr>
            <w:tcW w:w="1876" w:type="dxa"/>
            <w:shd w:val="clear" w:color="auto" w:fill="auto"/>
            <w:noWrap/>
            <w:vAlign w:val="center"/>
            <w:hideMark/>
          </w:tcPr>
          <w:p w14:paraId="50F84B33" w14:textId="77777777"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 – 1</w:t>
            </w:r>
          </w:p>
        </w:tc>
        <w:tc>
          <w:tcPr>
            <w:tcW w:w="846" w:type="dxa"/>
            <w:shd w:val="clear" w:color="auto" w:fill="auto"/>
            <w:noWrap/>
            <w:vAlign w:val="center"/>
          </w:tcPr>
          <w:p w14:paraId="6069BA84" w14:textId="4A365AFE" w:rsidR="00B3408D" w:rsidRPr="004A592F" w:rsidRDefault="00D55C43" w:rsidP="001C7942">
            <w:pPr>
              <w:spacing w:after="0" w:line="240" w:lineRule="auto"/>
              <w:ind w:firstLine="10"/>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532555BC" w14:textId="77777777" w:rsidR="00B3408D" w:rsidRPr="004A592F" w:rsidRDefault="00B3408D" w:rsidP="00746083">
            <w:pPr>
              <w:spacing w:after="0" w:line="240" w:lineRule="auto"/>
              <w:ind w:firstLine="9"/>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47" w:type="dxa"/>
            <w:shd w:val="clear" w:color="auto" w:fill="auto"/>
            <w:noWrap/>
            <w:vAlign w:val="center"/>
          </w:tcPr>
          <w:p w14:paraId="5A56E9D5" w14:textId="77777777" w:rsidR="00B3408D" w:rsidRPr="004A592F" w:rsidRDefault="00B3408D" w:rsidP="00746083">
            <w:pPr>
              <w:spacing w:after="0" w:line="240" w:lineRule="auto"/>
              <w:ind w:firstLine="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47" w:type="dxa"/>
            <w:shd w:val="clear" w:color="auto" w:fill="auto"/>
            <w:noWrap/>
            <w:vAlign w:val="center"/>
          </w:tcPr>
          <w:p w14:paraId="535576BB" w14:textId="77777777" w:rsidR="00B3408D" w:rsidRPr="004A592F" w:rsidRDefault="00B3408D" w:rsidP="00746083">
            <w:pPr>
              <w:spacing w:after="0" w:line="240" w:lineRule="auto"/>
              <w:ind w:firstLine="2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47" w:type="dxa"/>
            <w:shd w:val="clear" w:color="auto" w:fill="auto"/>
            <w:noWrap/>
            <w:vAlign w:val="center"/>
          </w:tcPr>
          <w:p w14:paraId="10B8C26C"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47" w:type="dxa"/>
            <w:shd w:val="clear" w:color="auto" w:fill="auto"/>
            <w:noWrap/>
            <w:vAlign w:val="center"/>
          </w:tcPr>
          <w:p w14:paraId="1B075E96" w14:textId="77777777" w:rsidR="00B3408D" w:rsidRPr="004A592F" w:rsidRDefault="00B3408D" w:rsidP="00746083">
            <w:pPr>
              <w:spacing w:after="0" w:line="240" w:lineRule="auto"/>
              <w:ind w:firstLine="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47" w:type="dxa"/>
            <w:shd w:val="clear" w:color="auto" w:fill="auto"/>
            <w:noWrap/>
            <w:vAlign w:val="center"/>
          </w:tcPr>
          <w:p w14:paraId="04C4608F"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47" w:type="dxa"/>
            <w:shd w:val="clear" w:color="auto" w:fill="auto"/>
            <w:noWrap/>
            <w:vAlign w:val="center"/>
          </w:tcPr>
          <w:p w14:paraId="7CB90D09"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847" w:type="dxa"/>
            <w:shd w:val="clear" w:color="auto" w:fill="auto"/>
            <w:noWrap/>
            <w:vAlign w:val="center"/>
          </w:tcPr>
          <w:p w14:paraId="62361039"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r>
      <w:tr w:rsidR="00B3408D" w:rsidRPr="004A592F" w14:paraId="3FCD2EA3" w14:textId="77777777" w:rsidTr="00685FFB">
        <w:trPr>
          <w:trHeight w:val="288"/>
        </w:trPr>
        <w:tc>
          <w:tcPr>
            <w:tcW w:w="1876" w:type="dxa"/>
            <w:shd w:val="clear" w:color="auto" w:fill="auto"/>
            <w:noWrap/>
            <w:vAlign w:val="center"/>
            <w:hideMark/>
          </w:tcPr>
          <w:p w14:paraId="16F5DA08" w14:textId="77777777"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 – 2</w:t>
            </w:r>
          </w:p>
        </w:tc>
        <w:tc>
          <w:tcPr>
            <w:tcW w:w="846" w:type="dxa"/>
            <w:shd w:val="clear" w:color="auto" w:fill="auto"/>
            <w:noWrap/>
            <w:vAlign w:val="center"/>
          </w:tcPr>
          <w:p w14:paraId="70BA23C5" w14:textId="77777777" w:rsidR="00B3408D" w:rsidRPr="004A592F" w:rsidRDefault="00B3408D" w:rsidP="00746083">
            <w:pPr>
              <w:spacing w:after="0" w:line="240" w:lineRule="auto"/>
              <w:ind w:firstLine="10"/>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47" w:type="dxa"/>
            <w:shd w:val="clear" w:color="auto" w:fill="auto"/>
            <w:noWrap/>
            <w:vAlign w:val="center"/>
          </w:tcPr>
          <w:p w14:paraId="2FFB259E" w14:textId="1528E4B2" w:rsidR="00B3408D" w:rsidRPr="004A592F" w:rsidRDefault="00D55C43" w:rsidP="001C7942">
            <w:pPr>
              <w:spacing w:after="0" w:line="240" w:lineRule="auto"/>
              <w:ind w:firstLine="9"/>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50DEEB59" w14:textId="77777777" w:rsidR="00B3408D" w:rsidRPr="004A592F" w:rsidRDefault="00B3408D" w:rsidP="00746083">
            <w:pPr>
              <w:spacing w:after="0" w:line="240" w:lineRule="auto"/>
              <w:ind w:firstLine="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47" w:type="dxa"/>
            <w:shd w:val="clear" w:color="auto" w:fill="auto"/>
            <w:noWrap/>
            <w:vAlign w:val="center"/>
          </w:tcPr>
          <w:p w14:paraId="12F7A414" w14:textId="77777777" w:rsidR="00B3408D" w:rsidRPr="004A592F" w:rsidRDefault="00B3408D" w:rsidP="00746083">
            <w:pPr>
              <w:spacing w:after="0" w:line="240" w:lineRule="auto"/>
              <w:ind w:firstLine="2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47" w:type="dxa"/>
            <w:shd w:val="clear" w:color="auto" w:fill="auto"/>
            <w:noWrap/>
            <w:vAlign w:val="center"/>
          </w:tcPr>
          <w:p w14:paraId="415E5893"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47" w:type="dxa"/>
            <w:shd w:val="clear" w:color="auto" w:fill="auto"/>
            <w:noWrap/>
            <w:vAlign w:val="center"/>
          </w:tcPr>
          <w:p w14:paraId="5B78D9EA" w14:textId="77777777" w:rsidR="00B3408D" w:rsidRPr="004A592F" w:rsidRDefault="00B3408D" w:rsidP="00746083">
            <w:pPr>
              <w:spacing w:after="0" w:line="240" w:lineRule="auto"/>
              <w:ind w:firstLine="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47" w:type="dxa"/>
            <w:shd w:val="clear" w:color="auto" w:fill="auto"/>
            <w:noWrap/>
            <w:vAlign w:val="center"/>
          </w:tcPr>
          <w:p w14:paraId="464CD008"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47" w:type="dxa"/>
            <w:shd w:val="clear" w:color="auto" w:fill="auto"/>
            <w:noWrap/>
            <w:vAlign w:val="center"/>
          </w:tcPr>
          <w:p w14:paraId="0BD59D93" w14:textId="201F0C84"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707CF">
              <w:rPr>
                <w:rFonts w:ascii="Times New Roman" w:eastAsia="Times New Roman" w:hAnsi="Times New Roman"/>
                <w:color w:val="000000"/>
                <w:lang w:val="en-US"/>
              </w:rPr>
              <w:t>.0</w:t>
            </w:r>
          </w:p>
        </w:tc>
        <w:tc>
          <w:tcPr>
            <w:tcW w:w="847" w:type="dxa"/>
            <w:shd w:val="clear" w:color="auto" w:fill="auto"/>
            <w:noWrap/>
            <w:vAlign w:val="center"/>
          </w:tcPr>
          <w:p w14:paraId="1D0ABBA3"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r>
      <w:tr w:rsidR="00B3408D" w:rsidRPr="004A592F" w14:paraId="6D1449B3" w14:textId="77777777" w:rsidTr="00685FFB">
        <w:trPr>
          <w:trHeight w:val="288"/>
        </w:trPr>
        <w:tc>
          <w:tcPr>
            <w:tcW w:w="1876" w:type="dxa"/>
            <w:shd w:val="clear" w:color="auto" w:fill="auto"/>
            <w:noWrap/>
            <w:vAlign w:val="center"/>
            <w:hideMark/>
          </w:tcPr>
          <w:p w14:paraId="3D82F590" w14:textId="77777777"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 – 1,</w:t>
            </w:r>
            <w:r w:rsidR="00746083" w:rsidRPr="004A592F">
              <w:rPr>
                <w:rFonts w:ascii="Times New Roman" w:eastAsia="Times New Roman" w:hAnsi="Times New Roman"/>
                <w:color w:val="000000"/>
                <w:lang w:val="en-US"/>
              </w:rPr>
              <w:t xml:space="preserve"> </w:t>
            </w:r>
            <w:r w:rsidRPr="004A592F">
              <w:rPr>
                <w:rFonts w:ascii="Times New Roman" w:eastAsia="Times New Roman" w:hAnsi="Times New Roman"/>
                <w:color w:val="000000"/>
                <w:lang w:val="en-US"/>
              </w:rPr>
              <w:t>3</w:t>
            </w:r>
          </w:p>
        </w:tc>
        <w:tc>
          <w:tcPr>
            <w:tcW w:w="846" w:type="dxa"/>
            <w:shd w:val="clear" w:color="auto" w:fill="auto"/>
            <w:noWrap/>
            <w:vAlign w:val="center"/>
          </w:tcPr>
          <w:p w14:paraId="641360B0" w14:textId="77777777" w:rsidR="00B3408D" w:rsidRPr="004A592F" w:rsidRDefault="00B3408D" w:rsidP="00746083">
            <w:pPr>
              <w:spacing w:after="0" w:line="240" w:lineRule="auto"/>
              <w:ind w:firstLine="10"/>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47" w:type="dxa"/>
            <w:shd w:val="clear" w:color="auto" w:fill="auto"/>
            <w:noWrap/>
            <w:vAlign w:val="center"/>
          </w:tcPr>
          <w:p w14:paraId="567135CC" w14:textId="77777777" w:rsidR="00B3408D" w:rsidRPr="004A592F" w:rsidRDefault="00B3408D" w:rsidP="00746083">
            <w:pPr>
              <w:spacing w:after="0" w:line="240" w:lineRule="auto"/>
              <w:ind w:firstLine="9"/>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4</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47" w:type="dxa"/>
            <w:shd w:val="clear" w:color="auto" w:fill="auto"/>
            <w:noWrap/>
            <w:vAlign w:val="center"/>
          </w:tcPr>
          <w:p w14:paraId="5029C899" w14:textId="3A2BD975" w:rsidR="00B3408D" w:rsidRPr="004A592F" w:rsidRDefault="00D55C43" w:rsidP="001C7942">
            <w:pPr>
              <w:spacing w:after="0" w:line="240" w:lineRule="auto"/>
              <w:ind w:firstLine="7"/>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6E01683A" w14:textId="77777777" w:rsidR="00B3408D" w:rsidRPr="004A592F" w:rsidRDefault="00B3408D" w:rsidP="00746083">
            <w:pPr>
              <w:spacing w:after="0" w:line="240" w:lineRule="auto"/>
              <w:ind w:firstLine="2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47" w:type="dxa"/>
            <w:shd w:val="clear" w:color="auto" w:fill="auto"/>
            <w:noWrap/>
            <w:vAlign w:val="center"/>
          </w:tcPr>
          <w:p w14:paraId="47086052"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47" w:type="dxa"/>
            <w:shd w:val="clear" w:color="auto" w:fill="auto"/>
            <w:noWrap/>
            <w:vAlign w:val="center"/>
          </w:tcPr>
          <w:p w14:paraId="27640F52" w14:textId="77777777" w:rsidR="00B3408D" w:rsidRPr="004A592F" w:rsidRDefault="00B3408D" w:rsidP="00746083">
            <w:pPr>
              <w:spacing w:after="0" w:line="240" w:lineRule="auto"/>
              <w:ind w:firstLine="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847" w:type="dxa"/>
            <w:shd w:val="clear" w:color="auto" w:fill="auto"/>
            <w:noWrap/>
            <w:vAlign w:val="center"/>
          </w:tcPr>
          <w:p w14:paraId="44AC74FC"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47" w:type="dxa"/>
            <w:shd w:val="clear" w:color="auto" w:fill="auto"/>
            <w:noWrap/>
            <w:vAlign w:val="center"/>
          </w:tcPr>
          <w:p w14:paraId="2710CA3B"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47" w:type="dxa"/>
            <w:shd w:val="clear" w:color="auto" w:fill="auto"/>
            <w:noWrap/>
            <w:vAlign w:val="center"/>
          </w:tcPr>
          <w:p w14:paraId="4A2AF560" w14:textId="62CF8CF5"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707CF">
              <w:rPr>
                <w:rFonts w:ascii="Times New Roman" w:eastAsia="Times New Roman" w:hAnsi="Times New Roman"/>
                <w:color w:val="000000"/>
                <w:lang w:val="en-US"/>
              </w:rPr>
              <w:t>.0</w:t>
            </w:r>
          </w:p>
        </w:tc>
      </w:tr>
      <w:tr w:rsidR="00B3408D" w:rsidRPr="004A592F" w14:paraId="3BB6691A" w14:textId="77777777" w:rsidTr="00685FFB">
        <w:trPr>
          <w:trHeight w:val="288"/>
        </w:trPr>
        <w:tc>
          <w:tcPr>
            <w:tcW w:w="1876" w:type="dxa"/>
            <w:shd w:val="clear" w:color="auto" w:fill="auto"/>
            <w:noWrap/>
            <w:vAlign w:val="center"/>
            <w:hideMark/>
          </w:tcPr>
          <w:p w14:paraId="3E5C5276" w14:textId="77777777"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 – 1</w:t>
            </w:r>
          </w:p>
        </w:tc>
        <w:tc>
          <w:tcPr>
            <w:tcW w:w="846" w:type="dxa"/>
            <w:shd w:val="clear" w:color="auto" w:fill="auto"/>
            <w:noWrap/>
            <w:vAlign w:val="center"/>
          </w:tcPr>
          <w:p w14:paraId="76D44B36" w14:textId="77777777" w:rsidR="00B3408D" w:rsidRPr="004A592F" w:rsidRDefault="00B3408D" w:rsidP="00746083">
            <w:pPr>
              <w:spacing w:after="0" w:line="240" w:lineRule="auto"/>
              <w:ind w:firstLine="10"/>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47" w:type="dxa"/>
            <w:shd w:val="clear" w:color="auto" w:fill="auto"/>
            <w:noWrap/>
            <w:vAlign w:val="center"/>
          </w:tcPr>
          <w:p w14:paraId="4956485C" w14:textId="77777777" w:rsidR="00B3408D" w:rsidRPr="004A592F" w:rsidRDefault="00B3408D" w:rsidP="00746083">
            <w:pPr>
              <w:spacing w:after="0" w:line="240" w:lineRule="auto"/>
              <w:ind w:firstLine="9"/>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47" w:type="dxa"/>
            <w:shd w:val="clear" w:color="auto" w:fill="auto"/>
            <w:noWrap/>
            <w:vAlign w:val="center"/>
          </w:tcPr>
          <w:p w14:paraId="0E22C113" w14:textId="77777777" w:rsidR="00B3408D" w:rsidRPr="004A592F" w:rsidRDefault="00B3408D" w:rsidP="00746083">
            <w:pPr>
              <w:spacing w:after="0" w:line="240" w:lineRule="auto"/>
              <w:ind w:firstLine="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47" w:type="dxa"/>
            <w:shd w:val="clear" w:color="auto" w:fill="auto"/>
            <w:noWrap/>
            <w:vAlign w:val="center"/>
          </w:tcPr>
          <w:p w14:paraId="6655AC99" w14:textId="69D38254" w:rsidR="00B3408D" w:rsidRPr="004A592F" w:rsidRDefault="00D55C43" w:rsidP="001C7942">
            <w:pPr>
              <w:spacing w:after="0" w:line="240" w:lineRule="auto"/>
              <w:ind w:firstLine="27"/>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7FCB5A58" w14:textId="1DED7F79"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5707CF">
              <w:rPr>
                <w:rFonts w:ascii="Times New Roman" w:eastAsia="Times New Roman" w:hAnsi="Times New Roman"/>
                <w:color w:val="000000"/>
                <w:lang w:val="en-US"/>
              </w:rPr>
              <w:t>.0</w:t>
            </w:r>
          </w:p>
        </w:tc>
        <w:tc>
          <w:tcPr>
            <w:tcW w:w="847" w:type="dxa"/>
            <w:shd w:val="clear" w:color="auto" w:fill="auto"/>
            <w:noWrap/>
            <w:vAlign w:val="center"/>
          </w:tcPr>
          <w:p w14:paraId="3755F055" w14:textId="77777777" w:rsidR="00B3408D" w:rsidRPr="004A592F" w:rsidRDefault="00B3408D" w:rsidP="00746083">
            <w:pPr>
              <w:spacing w:after="0" w:line="240" w:lineRule="auto"/>
              <w:ind w:firstLine="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47" w:type="dxa"/>
            <w:shd w:val="clear" w:color="auto" w:fill="auto"/>
            <w:noWrap/>
            <w:vAlign w:val="center"/>
          </w:tcPr>
          <w:p w14:paraId="76F1CB36"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47" w:type="dxa"/>
            <w:shd w:val="clear" w:color="auto" w:fill="auto"/>
            <w:noWrap/>
            <w:vAlign w:val="center"/>
          </w:tcPr>
          <w:p w14:paraId="350DCAC2"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47" w:type="dxa"/>
            <w:shd w:val="clear" w:color="auto" w:fill="auto"/>
            <w:noWrap/>
            <w:vAlign w:val="center"/>
          </w:tcPr>
          <w:p w14:paraId="6D283CEE"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r>
      <w:tr w:rsidR="00B3408D" w:rsidRPr="004A592F" w14:paraId="29EA27B2" w14:textId="77777777" w:rsidTr="00685FFB">
        <w:trPr>
          <w:trHeight w:val="288"/>
        </w:trPr>
        <w:tc>
          <w:tcPr>
            <w:tcW w:w="1876" w:type="dxa"/>
            <w:shd w:val="clear" w:color="auto" w:fill="auto"/>
            <w:noWrap/>
            <w:vAlign w:val="center"/>
            <w:hideMark/>
          </w:tcPr>
          <w:p w14:paraId="5FEAE0FC" w14:textId="77777777"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 – 2</w:t>
            </w:r>
          </w:p>
        </w:tc>
        <w:tc>
          <w:tcPr>
            <w:tcW w:w="846" w:type="dxa"/>
            <w:shd w:val="clear" w:color="auto" w:fill="auto"/>
            <w:noWrap/>
            <w:vAlign w:val="center"/>
          </w:tcPr>
          <w:p w14:paraId="50C61BE2" w14:textId="77777777" w:rsidR="00B3408D" w:rsidRPr="004A592F" w:rsidRDefault="00B3408D" w:rsidP="00746083">
            <w:pPr>
              <w:spacing w:after="0" w:line="240" w:lineRule="auto"/>
              <w:ind w:firstLine="10"/>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47" w:type="dxa"/>
            <w:shd w:val="clear" w:color="auto" w:fill="auto"/>
            <w:noWrap/>
            <w:vAlign w:val="center"/>
          </w:tcPr>
          <w:p w14:paraId="5B287C00" w14:textId="77777777" w:rsidR="00B3408D" w:rsidRPr="004A592F" w:rsidRDefault="00B3408D" w:rsidP="00746083">
            <w:pPr>
              <w:spacing w:after="0" w:line="240" w:lineRule="auto"/>
              <w:ind w:firstLine="9"/>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47" w:type="dxa"/>
            <w:shd w:val="clear" w:color="auto" w:fill="auto"/>
            <w:noWrap/>
            <w:vAlign w:val="center"/>
          </w:tcPr>
          <w:p w14:paraId="3B29F01B" w14:textId="77777777" w:rsidR="00B3408D" w:rsidRPr="004A592F" w:rsidRDefault="00B3408D" w:rsidP="00746083">
            <w:pPr>
              <w:spacing w:after="0" w:line="240" w:lineRule="auto"/>
              <w:ind w:firstLine="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47" w:type="dxa"/>
            <w:shd w:val="clear" w:color="auto" w:fill="auto"/>
            <w:noWrap/>
            <w:vAlign w:val="center"/>
          </w:tcPr>
          <w:p w14:paraId="52ED090F" w14:textId="023495CC" w:rsidR="00B3408D" w:rsidRPr="004A592F" w:rsidRDefault="00B3408D" w:rsidP="001C7942">
            <w:pPr>
              <w:spacing w:after="0" w:line="240" w:lineRule="auto"/>
              <w:ind w:firstLine="2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5707CF">
              <w:rPr>
                <w:rFonts w:ascii="Times New Roman" w:eastAsia="Times New Roman" w:hAnsi="Times New Roman"/>
                <w:color w:val="000000"/>
                <w:lang w:val="en-US"/>
              </w:rPr>
              <w:t>.0</w:t>
            </w:r>
          </w:p>
        </w:tc>
        <w:tc>
          <w:tcPr>
            <w:tcW w:w="847" w:type="dxa"/>
            <w:shd w:val="clear" w:color="auto" w:fill="auto"/>
            <w:noWrap/>
            <w:vAlign w:val="center"/>
          </w:tcPr>
          <w:p w14:paraId="6A8168B3" w14:textId="7A1F4765" w:rsidR="00B3408D" w:rsidRPr="004A592F" w:rsidRDefault="00D55C43" w:rsidP="001C794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019A9C95" w14:textId="77777777" w:rsidR="00B3408D" w:rsidRPr="004A592F" w:rsidRDefault="00B3408D" w:rsidP="00746083">
            <w:pPr>
              <w:spacing w:after="0" w:line="240" w:lineRule="auto"/>
              <w:ind w:firstLine="36"/>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847" w:type="dxa"/>
            <w:shd w:val="clear" w:color="auto" w:fill="auto"/>
            <w:noWrap/>
            <w:vAlign w:val="center"/>
          </w:tcPr>
          <w:p w14:paraId="2375B5C8"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47" w:type="dxa"/>
            <w:shd w:val="clear" w:color="auto" w:fill="auto"/>
            <w:noWrap/>
            <w:vAlign w:val="center"/>
          </w:tcPr>
          <w:p w14:paraId="75CB6F3A"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47" w:type="dxa"/>
            <w:shd w:val="clear" w:color="auto" w:fill="auto"/>
            <w:noWrap/>
            <w:vAlign w:val="center"/>
          </w:tcPr>
          <w:p w14:paraId="18770AE8"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r>
      <w:tr w:rsidR="00B3408D" w:rsidRPr="004A592F" w14:paraId="01211EA5" w14:textId="77777777" w:rsidTr="00685FFB">
        <w:trPr>
          <w:trHeight w:val="288"/>
        </w:trPr>
        <w:tc>
          <w:tcPr>
            <w:tcW w:w="1876" w:type="dxa"/>
            <w:shd w:val="clear" w:color="auto" w:fill="auto"/>
            <w:noWrap/>
            <w:vAlign w:val="center"/>
            <w:hideMark/>
          </w:tcPr>
          <w:p w14:paraId="1701A119" w14:textId="77777777"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 – 3</w:t>
            </w:r>
          </w:p>
        </w:tc>
        <w:tc>
          <w:tcPr>
            <w:tcW w:w="846" w:type="dxa"/>
            <w:shd w:val="clear" w:color="auto" w:fill="auto"/>
            <w:noWrap/>
            <w:vAlign w:val="center"/>
          </w:tcPr>
          <w:p w14:paraId="348DEFDC" w14:textId="77777777" w:rsidR="00B3408D" w:rsidRPr="004A592F" w:rsidRDefault="00B3408D" w:rsidP="00746083">
            <w:pPr>
              <w:spacing w:after="0" w:line="240" w:lineRule="auto"/>
              <w:ind w:firstLine="10"/>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47" w:type="dxa"/>
            <w:shd w:val="clear" w:color="auto" w:fill="auto"/>
            <w:noWrap/>
            <w:vAlign w:val="center"/>
          </w:tcPr>
          <w:p w14:paraId="4437921B" w14:textId="77777777" w:rsidR="00B3408D" w:rsidRPr="004A592F" w:rsidRDefault="00B3408D" w:rsidP="00746083">
            <w:pPr>
              <w:spacing w:after="0" w:line="240" w:lineRule="auto"/>
              <w:ind w:firstLine="9"/>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5</w:t>
            </w:r>
          </w:p>
        </w:tc>
        <w:tc>
          <w:tcPr>
            <w:tcW w:w="847" w:type="dxa"/>
            <w:shd w:val="clear" w:color="auto" w:fill="auto"/>
            <w:noWrap/>
            <w:vAlign w:val="center"/>
          </w:tcPr>
          <w:p w14:paraId="22ECDEB7" w14:textId="77777777" w:rsidR="00B3408D" w:rsidRPr="004A592F" w:rsidRDefault="00B3408D" w:rsidP="00746083">
            <w:pPr>
              <w:spacing w:after="0" w:line="240" w:lineRule="auto"/>
              <w:ind w:firstLine="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847" w:type="dxa"/>
            <w:shd w:val="clear" w:color="auto" w:fill="auto"/>
            <w:noWrap/>
            <w:vAlign w:val="center"/>
          </w:tcPr>
          <w:p w14:paraId="7428E234" w14:textId="77777777" w:rsidR="00B3408D" w:rsidRPr="004A592F" w:rsidRDefault="00B3408D" w:rsidP="00746083">
            <w:pPr>
              <w:spacing w:after="0" w:line="240" w:lineRule="auto"/>
              <w:ind w:firstLine="2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47" w:type="dxa"/>
            <w:shd w:val="clear" w:color="auto" w:fill="auto"/>
            <w:noWrap/>
            <w:vAlign w:val="center"/>
          </w:tcPr>
          <w:p w14:paraId="5F7AC8EB"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847" w:type="dxa"/>
            <w:shd w:val="clear" w:color="auto" w:fill="auto"/>
            <w:noWrap/>
            <w:vAlign w:val="center"/>
          </w:tcPr>
          <w:p w14:paraId="047ACC19" w14:textId="128A51AB" w:rsidR="00B3408D" w:rsidRPr="004A592F" w:rsidRDefault="00D55C43" w:rsidP="001C7942">
            <w:pPr>
              <w:spacing w:after="0" w:line="240" w:lineRule="auto"/>
              <w:ind w:firstLine="36"/>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75F47DB2" w14:textId="450790E6" w:rsidR="00B3408D" w:rsidRPr="004A592F" w:rsidRDefault="00D55C43" w:rsidP="001C794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3F8712B8" w14:textId="39F14D19" w:rsidR="00B3408D" w:rsidRPr="004A592F" w:rsidRDefault="00D55C43" w:rsidP="001C794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3BE5FCD4" w14:textId="7AE2A143" w:rsidR="00B3408D" w:rsidRPr="004A592F" w:rsidRDefault="00D55C43" w:rsidP="001C794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r>
      <w:tr w:rsidR="00B3408D" w:rsidRPr="004A592F" w14:paraId="6A418F0F" w14:textId="77777777" w:rsidTr="00685FFB">
        <w:trPr>
          <w:trHeight w:val="288"/>
        </w:trPr>
        <w:tc>
          <w:tcPr>
            <w:tcW w:w="1876" w:type="dxa"/>
            <w:shd w:val="clear" w:color="auto" w:fill="auto"/>
            <w:noWrap/>
            <w:vAlign w:val="center"/>
            <w:hideMark/>
          </w:tcPr>
          <w:p w14:paraId="6EA15A4F" w14:textId="77777777"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ІІІ – 1</w:t>
            </w:r>
          </w:p>
        </w:tc>
        <w:tc>
          <w:tcPr>
            <w:tcW w:w="846" w:type="dxa"/>
            <w:shd w:val="clear" w:color="auto" w:fill="auto"/>
            <w:noWrap/>
            <w:vAlign w:val="center"/>
          </w:tcPr>
          <w:p w14:paraId="3F1275A6" w14:textId="77777777" w:rsidR="00B3408D" w:rsidRPr="004A592F" w:rsidRDefault="00B3408D" w:rsidP="00746083">
            <w:pPr>
              <w:spacing w:after="0" w:line="240" w:lineRule="auto"/>
              <w:ind w:firstLine="10"/>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7</w:t>
            </w:r>
          </w:p>
        </w:tc>
        <w:tc>
          <w:tcPr>
            <w:tcW w:w="847" w:type="dxa"/>
            <w:shd w:val="clear" w:color="auto" w:fill="auto"/>
            <w:noWrap/>
            <w:vAlign w:val="center"/>
          </w:tcPr>
          <w:p w14:paraId="4238245E" w14:textId="77777777" w:rsidR="00B3408D" w:rsidRPr="004A592F" w:rsidRDefault="00B3408D" w:rsidP="00746083">
            <w:pPr>
              <w:spacing w:after="0" w:line="240" w:lineRule="auto"/>
              <w:ind w:firstLine="9"/>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8</w:t>
            </w:r>
          </w:p>
        </w:tc>
        <w:tc>
          <w:tcPr>
            <w:tcW w:w="847" w:type="dxa"/>
            <w:shd w:val="clear" w:color="auto" w:fill="auto"/>
            <w:noWrap/>
            <w:vAlign w:val="center"/>
          </w:tcPr>
          <w:p w14:paraId="7ED7F36D" w14:textId="77777777" w:rsidR="00B3408D" w:rsidRPr="004A592F" w:rsidRDefault="00B3408D" w:rsidP="00746083">
            <w:pPr>
              <w:spacing w:after="0" w:line="240" w:lineRule="auto"/>
              <w:ind w:firstLine="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47" w:type="dxa"/>
            <w:shd w:val="clear" w:color="auto" w:fill="auto"/>
            <w:noWrap/>
            <w:vAlign w:val="center"/>
          </w:tcPr>
          <w:p w14:paraId="3DA28F2A" w14:textId="77777777" w:rsidR="00B3408D" w:rsidRPr="004A592F" w:rsidRDefault="00B3408D" w:rsidP="00746083">
            <w:pPr>
              <w:spacing w:after="0" w:line="240" w:lineRule="auto"/>
              <w:ind w:firstLine="2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47" w:type="dxa"/>
            <w:shd w:val="clear" w:color="auto" w:fill="auto"/>
            <w:noWrap/>
            <w:vAlign w:val="center"/>
          </w:tcPr>
          <w:p w14:paraId="205B0DC2"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1</w:t>
            </w:r>
          </w:p>
        </w:tc>
        <w:tc>
          <w:tcPr>
            <w:tcW w:w="847" w:type="dxa"/>
            <w:shd w:val="clear" w:color="auto" w:fill="auto"/>
            <w:noWrap/>
            <w:vAlign w:val="center"/>
          </w:tcPr>
          <w:p w14:paraId="602B9A99" w14:textId="47850B5E" w:rsidR="00B3408D" w:rsidRPr="004A592F" w:rsidRDefault="00D55C43" w:rsidP="001C7942">
            <w:pPr>
              <w:spacing w:after="0" w:line="240" w:lineRule="auto"/>
              <w:ind w:firstLine="36"/>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03D6D898" w14:textId="08499A40" w:rsidR="00B3408D" w:rsidRPr="004A592F" w:rsidRDefault="00D55C43" w:rsidP="001C794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6440001B"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47" w:type="dxa"/>
            <w:shd w:val="clear" w:color="auto" w:fill="auto"/>
            <w:noWrap/>
            <w:vAlign w:val="center"/>
          </w:tcPr>
          <w:p w14:paraId="0650F131"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r>
      <w:tr w:rsidR="00B3408D" w:rsidRPr="004A592F" w14:paraId="51E5D26F" w14:textId="77777777" w:rsidTr="00685FFB">
        <w:trPr>
          <w:trHeight w:val="288"/>
        </w:trPr>
        <w:tc>
          <w:tcPr>
            <w:tcW w:w="1876" w:type="dxa"/>
            <w:shd w:val="clear" w:color="auto" w:fill="auto"/>
            <w:noWrap/>
            <w:vAlign w:val="center"/>
            <w:hideMark/>
          </w:tcPr>
          <w:p w14:paraId="701A1D5F" w14:textId="77777777"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ІІІ – 2</w:t>
            </w:r>
          </w:p>
        </w:tc>
        <w:tc>
          <w:tcPr>
            <w:tcW w:w="846" w:type="dxa"/>
            <w:shd w:val="clear" w:color="auto" w:fill="auto"/>
            <w:noWrap/>
            <w:vAlign w:val="center"/>
          </w:tcPr>
          <w:p w14:paraId="34E5A712" w14:textId="77777777" w:rsidR="00B3408D" w:rsidRPr="004A592F" w:rsidRDefault="00B3408D" w:rsidP="00746083">
            <w:pPr>
              <w:spacing w:after="0" w:line="240" w:lineRule="auto"/>
              <w:ind w:firstLine="10"/>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9</w:t>
            </w:r>
          </w:p>
        </w:tc>
        <w:tc>
          <w:tcPr>
            <w:tcW w:w="847" w:type="dxa"/>
            <w:shd w:val="clear" w:color="auto" w:fill="auto"/>
            <w:noWrap/>
            <w:vAlign w:val="center"/>
          </w:tcPr>
          <w:p w14:paraId="69472432" w14:textId="27FD226E" w:rsidR="00B3408D" w:rsidRPr="004A592F" w:rsidRDefault="00B3408D" w:rsidP="001C7942">
            <w:pPr>
              <w:spacing w:after="0" w:line="240" w:lineRule="auto"/>
              <w:ind w:firstLine="9"/>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707CF">
              <w:rPr>
                <w:rFonts w:ascii="Times New Roman" w:eastAsia="Times New Roman" w:hAnsi="Times New Roman"/>
                <w:color w:val="000000"/>
                <w:lang w:val="en-US"/>
              </w:rPr>
              <w:t>.0</w:t>
            </w:r>
          </w:p>
        </w:tc>
        <w:tc>
          <w:tcPr>
            <w:tcW w:w="847" w:type="dxa"/>
            <w:shd w:val="clear" w:color="auto" w:fill="auto"/>
            <w:noWrap/>
            <w:vAlign w:val="center"/>
          </w:tcPr>
          <w:p w14:paraId="69447704" w14:textId="77777777" w:rsidR="00B3408D" w:rsidRPr="004A592F" w:rsidRDefault="00B3408D" w:rsidP="00746083">
            <w:pPr>
              <w:spacing w:after="0" w:line="240" w:lineRule="auto"/>
              <w:ind w:firstLine="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2</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6</w:t>
            </w:r>
          </w:p>
        </w:tc>
        <w:tc>
          <w:tcPr>
            <w:tcW w:w="847" w:type="dxa"/>
            <w:shd w:val="clear" w:color="auto" w:fill="auto"/>
            <w:noWrap/>
            <w:vAlign w:val="center"/>
          </w:tcPr>
          <w:p w14:paraId="0296C107" w14:textId="77777777" w:rsidR="00B3408D" w:rsidRPr="004A592F" w:rsidRDefault="00B3408D" w:rsidP="00746083">
            <w:pPr>
              <w:spacing w:after="0" w:line="240" w:lineRule="auto"/>
              <w:ind w:firstLine="2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47" w:type="dxa"/>
            <w:shd w:val="clear" w:color="auto" w:fill="auto"/>
            <w:noWrap/>
            <w:vAlign w:val="center"/>
          </w:tcPr>
          <w:p w14:paraId="6C77E496"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7</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47" w:type="dxa"/>
            <w:shd w:val="clear" w:color="auto" w:fill="auto"/>
            <w:noWrap/>
            <w:vAlign w:val="center"/>
          </w:tcPr>
          <w:p w14:paraId="4E892D6E" w14:textId="00CA90F6" w:rsidR="00B3408D" w:rsidRPr="004A592F" w:rsidRDefault="00D55C43" w:rsidP="001C7942">
            <w:pPr>
              <w:spacing w:after="0" w:line="240" w:lineRule="auto"/>
              <w:ind w:firstLine="36"/>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7FA0A4C2"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1</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47" w:type="dxa"/>
            <w:shd w:val="clear" w:color="auto" w:fill="auto"/>
            <w:noWrap/>
            <w:vAlign w:val="center"/>
          </w:tcPr>
          <w:p w14:paraId="50DD9179" w14:textId="71AA7E7F" w:rsidR="00B3408D" w:rsidRPr="004A592F" w:rsidRDefault="00D55C43" w:rsidP="001C794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5F22B77B"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r>
      <w:tr w:rsidR="00B3408D" w:rsidRPr="004A592F" w14:paraId="5489EACD" w14:textId="77777777" w:rsidTr="00685FFB">
        <w:trPr>
          <w:trHeight w:val="288"/>
        </w:trPr>
        <w:tc>
          <w:tcPr>
            <w:tcW w:w="1876" w:type="dxa"/>
            <w:shd w:val="clear" w:color="auto" w:fill="auto"/>
            <w:noWrap/>
            <w:vAlign w:val="center"/>
            <w:hideMark/>
          </w:tcPr>
          <w:p w14:paraId="78C6C39D" w14:textId="77777777" w:rsidR="00B3408D" w:rsidRPr="004A592F" w:rsidRDefault="00B3408D" w:rsidP="001C7942">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ІІІ – 3</w:t>
            </w:r>
          </w:p>
        </w:tc>
        <w:tc>
          <w:tcPr>
            <w:tcW w:w="846" w:type="dxa"/>
            <w:shd w:val="clear" w:color="auto" w:fill="auto"/>
            <w:noWrap/>
            <w:vAlign w:val="center"/>
          </w:tcPr>
          <w:p w14:paraId="7C4B4F53" w14:textId="77777777" w:rsidR="00B3408D" w:rsidRPr="004A592F" w:rsidRDefault="00B3408D" w:rsidP="00746083">
            <w:pPr>
              <w:spacing w:after="0" w:line="240" w:lineRule="auto"/>
              <w:ind w:firstLine="10"/>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47" w:type="dxa"/>
            <w:shd w:val="clear" w:color="auto" w:fill="auto"/>
            <w:noWrap/>
            <w:vAlign w:val="center"/>
          </w:tcPr>
          <w:p w14:paraId="702F1591" w14:textId="77777777" w:rsidR="00B3408D" w:rsidRPr="004A592F" w:rsidRDefault="00B3408D" w:rsidP="00746083">
            <w:pPr>
              <w:spacing w:after="0" w:line="240" w:lineRule="auto"/>
              <w:ind w:firstLine="9"/>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4</w:t>
            </w:r>
          </w:p>
        </w:tc>
        <w:tc>
          <w:tcPr>
            <w:tcW w:w="847" w:type="dxa"/>
            <w:shd w:val="clear" w:color="auto" w:fill="auto"/>
            <w:noWrap/>
            <w:vAlign w:val="center"/>
          </w:tcPr>
          <w:p w14:paraId="595B439A" w14:textId="72CFD9B9" w:rsidR="00B3408D" w:rsidRPr="004A592F" w:rsidRDefault="00B3408D" w:rsidP="001C7942">
            <w:pPr>
              <w:spacing w:after="0" w:line="240" w:lineRule="auto"/>
              <w:ind w:firstLine="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3</w:t>
            </w:r>
            <w:r w:rsidR="005707CF">
              <w:rPr>
                <w:rFonts w:ascii="Times New Roman" w:eastAsia="Times New Roman" w:hAnsi="Times New Roman"/>
                <w:color w:val="000000"/>
                <w:lang w:val="en-US"/>
              </w:rPr>
              <w:t>.0</w:t>
            </w:r>
          </w:p>
        </w:tc>
        <w:tc>
          <w:tcPr>
            <w:tcW w:w="847" w:type="dxa"/>
            <w:shd w:val="clear" w:color="auto" w:fill="auto"/>
            <w:noWrap/>
            <w:vAlign w:val="center"/>
          </w:tcPr>
          <w:p w14:paraId="1D3D4264" w14:textId="77777777" w:rsidR="00B3408D" w:rsidRPr="004A592F" w:rsidRDefault="00B3408D" w:rsidP="00746083">
            <w:pPr>
              <w:spacing w:after="0" w:line="240" w:lineRule="auto"/>
              <w:ind w:firstLine="27"/>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47" w:type="dxa"/>
            <w:shd w:val="clear" w:color="auto" w:fill="auto"/>
            <w:noWrap/>
            <w:vAlign w:val="center"/>
          </w:tcPr>
          <w:p w14:paraId="5228A8D4"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47" w:type="dxa"/>
            <w:shd w:val="clear" w:color="auto" w:fill="auto"/>
            <w:noWrap/>
            <w:vAlign w:val="center"/>
          </w:tcPr>
          <w:p w14:paraId="7CE1B730" w14:textId="524C2557" w:rsidR="00B3408D" w:rsidRPr="004A592F" w:rsidRDefault="00D55C43" w:rsidP="001C7942">
            <w:pPr>
              <w:spacing w:after="0" w:line="240" w:lineRule="auto"/>
              <w:ind w:firstLine="36"/>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47" w:type="dxa"/>
            <w:shd w:val="clear" w:color="auto" w:fill="auto"/>
            <w:noWrap/>
            <w:vAlign w:val="center"/>
          </w:tcPr>
          <w:p w14:paraId="7A3D9509"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6</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3</w:t>
            </w:r>
          </w:p>
        </w:tc>
        <w:tc>
          <w:tcPr>
            <w:tcW w:w="847" w:type="dxa"/>
            <w:shd w:val="clear" w:color="auto" w:fill="auto"/>
            <w:noWrap/>
            <w:vAlign w:val="center"/>
          </w:tcPr>
          <w:p w14:paraId="278B69FD" w14:textId="77777777" w:rsidR="00B3408D" w:rsidRPr="004A592F" w:rsidRDefault="00B3408D" w:rsidP="00746083">
            <w:pPr>
              <w:spacing w:after="0" w:line="240" w:lineRule="auto"/>
              <w:jc w:val="center"/>
              <w:rPr>
                <w:rFonts w:ascii="Times New Roman" w:eastAsia="Times New Roman" w:hAnsi="Times New Roman"/>
                <w:color w:val="000000"/>
                <w:lang w:val="en-US"/>
              </w:rPr>
            </w:pPr>
            <w:r w:rsidRPr="004A592F">
              <w:rPr>
                <w:rFonts w:ascii="Times New Roman" w:eastAsia="Times New Roman" w:hAnsi="Times New Roman"/>
                <w:color w:val="000000"/>
                <w:lang w:val="en-US"/>
              </w:rPr>
              <w:t>5</w:t>
            </w:r>
            <w:r w:rsidR="00746083" w:rsidRPr="004A592F">
              <w:rPr>
                <w:rFonts w:ascii="Times New Roman" w:eastAsia="Times New Roman" w:hAnsi="Times New Roman"/>
                <w:color w:val="000000"/>
                <w:lang w:val="en-US"/>
              </w:rPr>
              <w:t>.</w:t>
            </w:r>
            <w:r w:rsidRPr="004A592F">
              <w:rPr>
                <w:rFonts w:ascii="Times New Roman" w:eastAsia="Times New Roman" w:hAnsi="Times New Roman"/>
                <w:color w:val="000000"/>
                <w:lang w:val="en-US"/>
              </w:rPr>
              <w:t>2</w:t>
            </w:r>
          </w:p>
        </w:tc>
        <w:tc>
          <w:tcPr>
            <w:tcW w:w="847" w:type="dxa"/>
            <w:shd w:val="clear" w:color="auto" w:fill="auto"/>
            <w:noWrap/>
            <w:vAlign w:val="center"/>
          </w:tcPr>
          <w:p w14:paraId="2A6DE228" w14:textId="3D59B3AE" w:rsidR="00B3408D" w:rsidRPr="004A592F" w:rsidRDefault="00D55C43" w:rsidP="001C794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r>
    </w:tbl>
    <w:p w14:paraId="4A01A53F" w14:textId="77777777" w:rsidR="001C7942" w:rsidRPr="004A592F" w:rsidRDefault="001C7942" w:rsidP="00B3408D">
      <w:pPr>
        <w:spacing w:after="0" w:line="240" w:lineRule="auto"/>
        <w:ind w:firstLine="284"/>
        <w:jc w:val="both"/>
        <w:rPr>
          <w:rFonts w:ascii="Times New Roman" w:hAnsi="Times New Roman"/>
          <w:lang w:val="en-US"/>
        </w:rPr>
      </w:pPr>
    </w:p>
    <w:p w14:paraId="3C2D3582" w14:textId="7802F5F3" w:rsidR="00B3408D" w:rsidRPr="004A592F" w:rsidRDefault="00EF3CC2" w:rsidP="00B3408D">
      <w:pPr>
        <w:spacing w:after="0" w:line="240" w:lineRule="auto"/>
        <w:ind w:firstLine="284"/>
        <w:jc w:val="both"/>
        <w:rPr>
          <w:rFonts w:ascii="Times New Roman" w:eastAsia="Times New Roman" w:hAnsi="Times New Roman"/>
          <w:bCs/>
          <w:iCs/>
          <w:lang w:val="en-US" w:eastAsia="ru-RU"/>
        </w:rPr>
      </w:pPr>
      <w:r w:rsidRPr="004A592F">
        <w:rPr>
          <w:rFonts w:ascii="Times New Roman" w:hAnsi="Times New Roman"/>
          <w:lang w:val="en-US"/>
        </w:rPr>
        <w:t xml:space="preserve">The results of calculations of the integrated costs of heating a building for </w:t>
      </w:r>
      <w:r w:rsidR="004D5C85">
        <w:rPr>
          <w:rFonts w:ascii="Times New Roman" w:hAnsi="Times New Roman"/>
          <w:lang w:val="en-US"/>
        </w:rPr>
        <w:t>implementing</w:t>
      </w:r>
      <w:r w:rsidRPr="004A592F">
        <w:rPr>
          <w:rFonts w:ascii="Times New Roman" w:hAnsi="Times New Roman"/>
          <w:lang w:val="en-US"/>
        </w:rPr>
        <w:t xml:space="preserve"> the energy efficiency measures considered in this paper indicate a high economic feasibility of their implementation even under conditions of a significant increase in energy tariffs. Thus, if tariffs increase to the level described above L</w:t>
      </w:r>
      <w:r w:rsidRPr="004A592F">
        <w:rPr>
          <w:rFonts w:ascii="Times New Roman" w:hAnsi="Times New Roman"/>
          <w:vertAlign w:val="subscript"/>
          <w:lang w:val="en-US"/>
        </w:rPr>
        <w:t>1</w:t>
      </w:r>
      <w:r w:rsidRPr="004A592F">
        <w:rPr>
          <w:rFonts w:ascii="Times New Roman" w:hAnsi="Times New Roman"/>
          <w:lang w:val="en-US"/>
        </w:rPr>
        <w:t xml:space="preserve"> – 3 and the discount rate E = 10%, the economic efficiency of the building operation when replacing the energy source at the existing level of thermal protection (I – 2, I – 1, 3), compared to the I – 1 system, is confirmed by the payback periods of the systems of 2.5 and 3.3 years, respectively.</w:t>
      </w:r>
      <w:r w:rsidR="00B3408D" w:rsidRPr="004A592F">
        <w:rPr>
          <w:rFonts w:ascii="Times New Roman" w:hAnsi="Times New Roman"/>
          <w:lang w:val="en-US"/>
        </w:rPr>
        <w:t xml:space="preserve"> </w:t>
      </w:r>
      <w:r w:rsidRPr="004A592F">
        <w:rPr>
          <w:rFonts w:ascii="Times New Roman" w:hAnsi="Times New Roman"/>
          <w:lang w:val="en-US"/>
        </w:rPr>
        <w:t>At the same time, the high economic feasibility of implementing measures aimed at using renewable energy sources with an improved building envelope is confirmed by the payback periods of systems II – 2, II – 3 and III – 2, I</w:t>
      </w:r>
      <w:r w:rsidR="002934BE">
        <w:rPr>
          <w:rFonts w:ascii="Times New Roman" w:hAnsi="Times New Roman"/>
          <w:lang w:val="en-US"/>
        </w:rPr>
        <w:br/>
      </w:r>
      <w:r w:rsidRPr="004A592F">
        <w:rPr>
          <w:rFonts w:ascii="Times New Roman" w:hAnsi="Times New Roman"/>
          <w:lang w:val="en-US"/>
        </w:rPr>
        <w:t>II – 3 compared to I – 1.</w:t>
      </w:r>
    </w:p>
    <w:p w14:paraId="2D6A8AFA" w14:textId="576A384A" w:rsidR="000158D5" w:rsidRPr="004A592F" w:rsidRDefault="0033575A" w:rsidP="0033575A">
      <w:pPr>
        <w:spacing w:before="240" w:after="120" w:line="240" w:lineRule="auto"/>
        <w:jc w:val="both"/>
        <w:rPr>
          <w:rFonts w:ascii="Times New Roman" w:eastAsia="Times New Roman" w:hAnsi="Times New Roman"/>
          <w:b/>
          <w:bCs/>
          <w:sz w:val="24"/>
          <w:szCs w:val="24"/>
          <w:lang w:val="en-US" w:eastAsia="uk-UA"/>
        </w:rPr>
      </w:pPr>
      <w:r w:rsidRPr="004A592F">
        <w:rPr>
          <w:rFonts w:ascii="Times New Roman" w:eastAsiaTheme="minorHAnsi" w:hAnsi="Times New Roman"/>
          <w:b/>
          <w:bCs/>
          <w:sz w:val="24"/>
          <w:szCs w:val="24"/>
          <w:lang w:val="en-US"/>
        </w:rPr>
        <w:t xml:space="preserve">3. </w:t>
      </w:r>
      <w:r w:rsidR="00EF3CC2" w:rsidRPr="004A592F">
        <w:rPr>
          <w:rFonts w:ascii="Times New Roman" w:eastAsiaTheme="minorHAnsi" w:hAnsi="Times New Roman"/>
          <w:b/>
          <w:bCs/>
          <w:sz w:val="24"/>
          <w:szCs w:val="24"/>
          <w:lang w:val="en-US"/>
        </w:rPr>
        <w:t>Conclusions</w:t>
      </w:r>
    </w:p>
    <w:p w14:paraId="6B626EFC" w14:textId="055B66EF" w:rsidR="001C7942" w:rsidRPr="004A592F" w:rsidRDefault="00EF3CC2" w:rsidP="0033575A">
      <w:pPr>
        <w:spacing w:after="0" w:line="240" w:lineRule="auto"/>
        <w:ind w:firstLine="284"/>
        <w:jc w:val="both"/>
        <w:rPr>
          <w:rFonts w:ascii="Times New Roman" w:hAnsi="Times New Roman"/>
          <w:shd w:val="clear" w:color="auto" w:fill="FFFFFF"/>
          <w:lang w:val="en-US"/>
        </w:rPr>
      </w:pPr>
      <w:r w:rsidRPr="004A592F">
        <w:rPr>
          <w:rFonts w:ascii="Times New Roman" w:hAnsi="Times New Roman"/>
          <w:shd w:val="clear" w:color="auto" w:fill="FFFFFF"/>
          <w:lang w:val="en-US"/>
        </w:rPr>
        <w:t xml:space="preserve">The paper presents the results of </w:t>
      </w:r>
      <w:r w:rsidR="004D5C85">
        <w:rPr>
          <w:rFonts w:ascii="Times New Roman" w:hAnsi="Times New Roman"/>
          <w:shd w:val="clear" w:color="auto" w:fill="FFFFFF"/>
          <w:lang w:val="en-US"/>
        </w:rPr>
        <w:t xml:space="preserve">the </w:t>
      </w:r>
      <w:r w:rsidRPr="004A592F">
        <w:rPr>
          <w:rFonts w:ascii="Times New Roman" w:hAnsi="Times New Roman"/>
          <w:shd w:val="clear" w:color="auto" w:fill="FFFFFF"/>
          <w:lang w:val="en-US"/>
        </w:rPr>
        <w:t>dynamic mode</w:t>
      </w:r>
      <w:r w:rsidR="004D5C85">
        <w:rPr>
          <w:rFonts w:ascii="Times New Roman" w:hAnsi="Times New Roman"/>
          <w:shd w:val="clear" w:color="auto" w:fill="FFFFFF"/>
          <w:lang w:val="en-US"/>
        </w:rPr>
        <w:t>l</w:t>
      </w:r>
      <w:r w:rsidRPr="004A592F">
        <w:rPr>
          <w:rFonts w:ascii="Times New Roman" w:hAnsi="Times New Roman"/>
          <w:shd w:val="clear" w:color="auto" w:fill="FFFFFF"/>
          <w:lang w:val="en-US"/>
        </w:rPr>
        <w:t xml:space="preserve">ling of a building in </w:t>
      </w:r>
      <w:proofErr w:type="spellStart"/>
      <w:r w:rsidRPr="004A592F">
        <w:rPr>
          <w:rFonts w:ascii="Times New Roman" w:hAnsi="Times New Roman"/>
          <w:shd w:val="clear" w:color="auto" w:fill="FFFFFF"/>
          <w:lang w:val="en-US"/>
        </w:rPr>
        <w:t>DesignBuilser</w:t>
      </w:r>
      <w:proofErr w:type="spellEnd"/>
      <w:r w:rsidRPr="004A592F">
        <w:rPr>
          <w:rFonts w:ascii="Times New Roman" w:hAnsi="Times New Roman"/>
          <w:shd w:val="clear" w:color="auto" w:fill="FFFFFF"/>
          <w:lang w:val="en-US"/>
        </w:rPr>
        <w:t xml:space="preserve"> at different levels of thermal protection of the building:</w:t>
      </w:r>
    </w:p>
    <w:p w14:paraId="3A48B567" w14:textId="184CB496" w:rsidR="001C7942" w:rsidRPr="00F97BA0" w:rsidRDefault="00EF3CC2" w:rsidP="00F97BA0">
      <w:pPr>
        <w:pStyle w:val="Akapitzlist"/>
        <w:numPr>
          <w:ilvl w:val="0"/>
          <w:numId w:val="28"/>
        </w:numPr>
        <w:spacing w:after="0" w:line="240" w:lineRule="auto"/>
        <w:ind w:left="364"/>
        <w:jc w:val="both"/>
        <w:rPr>
          <w:rFonts w:ascii="Times New Roman" w:hAnsi="Times New Roman"/>
          <w:shd w:val="clear" w:color="auto" w:fill="FFFFFF"/>
          <w:lang w:val="en-US"/>
        </w:rPr>
      </w:pPr>
      <w:r w:rsidRPr="00F97BA0">
        <w:rPr>
          <w:rFonts w:ascii="Times New Roman" w:hAnsi="Times New Roman"/>
          <w:shd w:val="clear" w:color="auto" w:fill="FFFFFF"/>
          <w:lang w:val="en-US"/>
        </w:rPr>
        <w:t>the existing level of thermal protection provided by an uninsulated building</w:t>
      </w:r>
      <w:r w:rsidR="00F97BA0">
        <w:rPr>
          <w:rFonts w:ascii="Times New Roman" w:hAnsi="Times New Roman"/>
          <w:shd w:val="clear" w:color="auto" w:fill="FFFFFF"/>
          <w:lang w:val="en-US"/>
        </w:rPr>
        <w:t>,</w:t>
      </w:r>
    </w:p>
    <w:p w14:paraId="12641400" w14:textId="2FDBD33E" w:rsidR="001C7942" w:rsidRPr="00F97BA0" w:rsidRDefault="00EF3CC2" w:rsidP="00F97BA0">
      <w:pPr>
        <w:pStyle w:val="Akapitzlist"/>
        <w:numPr>
          <w:ilvl w:val="0"/>
          <w:numId w:val="28"/>
        </w:numPr>
        <w:spacing w:after="0" w:line="240" w:lineRule="auto"/>
        <w:ind w:left="364"/>
        <w:jc w:val="both"/>
        <w:rPr>
          <w:rFonts w:ascii="Times New Roman" w:hAnsi="Times New Roman"/>
          <w:shd w:val="clear" w:color="auto" w:fill="FFFFFF"/>
          <w:lang w:val="en-US"/>
        </w:rPr>
      </w:pPr>
      <w:r w:rsidRPr="00F97BA0">
        <w:rPr>
          <w:rFonts w:ascii="Times New Roman" w:hAnsi="Times New Roman"/>
          <w:shd w:val="clear" w:color="auto" w:fill="FFFFFF"/>
          <w:lang w:val="en-US"/>
        </w:rPr>
        <w:t>thermal protection improved to Ukrainian requirements, energy-efficient building envelope</w:t>
      </w:r>
      <w:r w:rsidR="00F97BA0">
        <w:rPr>
          <w:rFonts w:ascii="Times New Roman" w:hAnsi="Times New Roman"/>
          <w:shd w:val="clear" w:color="auto" w:fill="FFFFFF"/>
          <w:lang w:val="en-US"/>
        </w:rPr>
        <w:t>,</w:t>
      </w:r>
    </w:p>
    <w:p w14:paraId="246006D7" w14:textId="09DB758A" w:rsidR="001C7942" w:rsidRPr="00F97BA0" w:rsidRDefault="00EF3CC2" w:rsidP="00F97BA0">
      <w:pPr>
        <w:pStyle w:val="Akapitzlist"/>
        <w:numPr>
          <w:ilvl w:val="0"/>
          <w:numId w:val="28"/>
        </w:numPr>
        <w:spacing w:after="0" w:line="240" w:lineRule="auto"/>
        <w:ind w:left="364"/>
        <w:jc w:val="both"/>
        <w:rPr>
          <w:rFonts w:ascii="Times New Roman" w:hAnsi="Times New Roman"/>
          <w:shd w:val="clear" w:color="auto" w:fill="FFFFFF"/>
          <w:lang w:val="en-US"/>
        </w:rPr>
      </w:pPr>
      <w:r w:rsidRPr="00F97BA0">
        <w:rPr>
          <w:rFonts w:ascii="Times New Roman" w:hAnsi="Times New Roman"/>
          <w:shd w:val="clear" w:color="auto" w:fill="FFFFFF"/>
          <w:lang w:val="en-US"/>
        </w:rPr>
        <w:t>thermal protection improved to Swedish requirements, highly energy-efficient building envelope</w:t>
      </w:r>
      <w:r w:rsidR="001C7942" w:rsidRPr="00F97BA0">
        <w:rPr>
          <w:rFonts w:ascii="Times New Roman" w:hAnsi="Times New Roman"/>
          <w:shd w:val="clear" w:color="auto" w:fill="FFFFFF"/>
          <w:lang w:val="en-US"/>
        </w:rPr>
        <w:t>.</w:t>
      </w:r>
    </w:p>
    <w:p w14:paraId="2CBB97D0" w14:textId="77777777" w:rsidR="00F97BA0" w:rsidRDefault="00F97BA0" w:rsidP="0033575A">
      <w:pPr>
        <w:spacing w:after="0" w:line="240" w:lineRule="auto"/>
        <w:ind w:firstLine="284"/>
        <w:jc w:val="both"/>
        <w:rPr>
          <w:rFonts w:ascii="Times New Roman" w:hAnsi="Times New Roman"/>
          <w:shd w:val="clear" w:color="auto" w:fill="FFFFFF"/>
          <w:lang w:val="en-US"/>
        </w:rPr>
      </w:pPr>
    </w:p>
    <w:p w14:paraId="12F31A7C" w14:textId="124521A7" w:rsidR="001C7942" w:rsidRPr="004A592F" w:rsidRDefault="00EF3CC2" w:rsidP="0033575A">
      <w:pPr>
        <w:spacing w:after="0" w:line="240" w:lineRule="auto"/>
        <w:ind w:firstLine="284"/>
        <w:jc w:val="both"/>
        <w:rPr>
          <w:rFonts w:ascii="Times New Roman" w:hAnsi="Times New Roman"/>
          <w:shd w:val="clear" w:color="auto" w:fill="FFFFFF"/>
          <w:lang w:val="en-US"/>
        </w:rPr>
      </w:pPr>
      <w:r w:rsidRPr="004A592F">
        <w:rPr>
          <w:rFonts w:ascii="Times New Roman" w:hAnsi="Times New Roman"/>
          <w:shd w:val="clear" w:color="auto" w:fill="FFFFFF"/>
          <w:lang w:val="en-US"/>
        </w:rPr>
        <w:t>The possibilities of using renewable energy sources</w:t>
      </w:r>
      <w:r w:rsidR="004D5C85">
        <w:rPr>
          <w:rFonts w:ascii="Times New Roman" w:hAnsi="Times New Roman"/>
          <w:shd w:val="clear" w:color="auto" w:fill="FFFFFF"/>
          <w:lang w:val="en-US"/>
        </w:rPr>
        <w:t xml:space="preserve"> and </w:t>
      </w:r>
      <w:proofErr w:type="spellStart"/>
      <w:r w:rsidR="004D5C85">
        <w:rPr>
          <w:rFonts w:ascii="Times New Roman" w:hAnsi="Times New Roman"/>
          <w:shd w:val="clear" w:color="auto" w:fill="FFFFFF"/>
          <w:lang w:val="en-US"/>
        </w:rPr>
        <w:t>modernisation's</w:t>
      </w:r>
      <w:proofErr w:type="spellEnd"/>
      <w:r w:rsidR="004D5C85">
        <w:rPr>
          <w:rFonts w:ascii="Times New Roman" w:hAnsi="Times New Roman"/>
          <w:shd w:val="clear" w:color="auto" w:fill="FFFFFF"/>
          <w:lang w:val="en-US"/>
        </w:rPr>
        <w:t xml:space="preserve"> economic, technical and environmental impact</w:t>
      </w:r>
      <w:r w:rsidRPr="004A592F">
        <w:rPr>
          <w:rFonts w:ascii="Times New Roman" w:hAnsi="Times New Roman"/>
          <w:shd w:val="clear" w:color="auto" w:fill="FFFFFF"/>
          <w:lang w:val="en-US"/>
        </w:rPr>
        <w:t xml:space="preserve"> were assessed by comparing the advantages of biomass and a heat pump over natural gas. According to the assessment, the most attractive measure from an environmental and economic point of view is </w:t>
      </w:r>
      <w:r w:rsidR="004D5C85">
        <w:rPr>
          <w:rFonts w:ascii="Times New Roman" w:hAnsi="Times New Roman"/>
          <w:shd w:val="clear" w:color="auto" w:fill="FFFFFF"/>
          <w:lang w:val="en-US"/>
        </w:rPr>
        <w:t>replacing</w:t>
      </w:r>
      <w:r w:rsidRPr="004A592F">
        <w:rPr>
          <w:rFonts w:ascii="Times New Roman" w:hAnsi="Times New Roman"/>
          <w:shd w:val="clear" w:color="auto" w:fill="FFFFFF"/>
          <w:lang w:val="en-US"/>
        </w:rPr>
        <w:t xml:space="preserve"> natural gas with biomass represented by sunflower husk pellets, with an improved level of thermal protection to the level of an energy-efficient and highly energy-efficient building envelope.</w:t>
      </w:r>
      <w:r w:rsidR="00C5326C" w:rsidRPr="004A592F">
        <w:rPr>
          <w:rFonts w:ascii="Times New Roman" w:hAnsi="Times New Roman"/>
          <w:shd w:val="clear" w:color="auto" w:fill="FFFFFF"/>
          <w:lang w:val="en-US"/>
        </w:rPr>
        <w:t xml:space="preserve"> </w:t>
      </w:r>
      <w:r w:rsidRPr="004A592F">
        <w:rPr>
          <w:rFonts w:ascii="Times New Roman" w:hAnsi="Times New Roman"/>
          <w:shd w:val="clear" w:color="auto" w:fill="FFFFFF"/>
          <w:lang w:val="en-US"/>
        </w:rPr>
        <w:t>At the same time, the long-term heating costs for a building using biomass as an energy source at different levels of thermal protection are the lowest under different scenarios of energy tariff growth and discount rates.</w:t>
      </w:r>
    </w:p>
    <w:p w14:paraId="134BB940" w14:textId="15345384" w:rsidR="00804BF0" w:rsidRPr="004A592F" w:rsidRDefault="00EF3CC2" w:rsidP="00C5326C">
      <w:pPr>
        <w:spacing w:after="0" w:line="240" w:lineRule="auto"/>
        <w:ind w:firstLine="284"/>
        <w:jc w:val="both"/>
        <w:rPr>
          <w:rFonts w:ascii="Times New Roman" w:hAnsi="Times New Roman"/>
          <w:shd w:val="clear" w:color="auto" w:fill="FFFFFF"/>
          <w:lang w:val="en-US"/>
        </w:rPr>
      </w:pPr>
      <w:r w:rsidRPr="004A592F">
        <w:rPr>
          <w:rFonts w:ascii="Times New Roman" w:hAnsi="Times New Roman"/>
          <w:shd w:val="clear" w:color="auto" w:fill="FFFFFF"/>
          <w:lang w:val="en-US"/>
        </w:rPr>
        <w:t xml:space="preserve">Further research will focus on estimating the cooling demand for a building in the summer at different </w:t>
      </w:r>
      <w:r w:rsidR="004D5C85">
        <w:rPr>
          <w:rFonts w:ascii="Times New Roman" w:hAnsi="Times New Roman"/>
          <w:shd w:val="clear" w:color="auto" w:fill="FFFFFF"/>
          <w:lang w:val="en-US"/>
        </w:rPr>
        <w:t>thermal protection levels using different</w:t>
      </w:r>
      <w:r w:rsidRPr="004A592F">
        <w:rPr>
          <w:rFonts w:ascii="Times New Roman" w:hAnsi="Times New Roman"/>
          <w:shd w:val="clear" w:color="auto" w:fill="FFFFFF"/>
          <w:lang w:val="en-US"/>
        </w:rPr>
        <w:t xml:space="preserve"> energy sources.</w:t>
      </w:r>
    </w:p>
    <w:p w14:paraId="5A4BE5F1" w14:textId="77777777" w:rsidR="00586C5F" w:rsidRPr="004A592F" w:rsidRDefault="00586C5F" w:rsidP="001F5676">
      <w:pPr>
        <w:pStyle w:val="Rn2"/>
        <w:rPr>
          <w:shd w:val="clear" w:color="auto" w:fill="FFFFFF"/>
        </w:rPr>
      </w:pPr>
      <w:proofErr w:type="spellStart"/>
      <w:r w:rsidRPr="004A592F">
        <w:rPr>
          <w:shd w:val="clear" w:color="auto" w:fill="FFFFFF"/>
        </w:rPr>
        <w:t>References</w:t>
      </w:r>
      <w:proofErr w:type="spellEnd"/>
    </w:p>
    <w:p w14:paraId="2ACDDF5F" w14:textId="77777777" w:rsidR="00CE1301" w:rsidRPr="00CE1301" w:rsidRDefault="00CE1301" w:rsidP="00CE1301">
      <w:pPr>
        <w:pStyle w:val="Rlit"/>
        <w:jc w:val="left"/>
      </w:pPr>
      <w:r w:rsidRPr="00CE1301">
        <w:t xml:space="preserve">Battle of the Discount Rates. </w:t>
      </w:r>
      <w:r w:rsidRPr="00F00068">
        <w:rPr>
          <w:i/>
          <w:iCs/>
        </w:rPr>
        <w:t>Friends of the Earth Europe</w:t>
      </w:r>
      <w:r w:rsidRPr="00CE1301">
        <w:t xml:space="preserve">. Retrieved from: </w:t>
      </w:r>
      <w:hyperlink r:id="rId20" w:tgtFrame="_blank" w:history="1">
        <w:r w:rsidRPr="00CE1301">
          <w:t>http://www.foeeurope.org/sites/default/files/energy_savings/2015/battle-discount-rates.pdf</w:t>
        </w:r>
      </w:hyperlink>
      <w:r w:rsidRPr="00CE1301">
        <w:t>.</w:t>
      </w:r>
    </w:p>
    <w:p w14:paraId="36FF184D" w14:textId="77777777" w:rsidR="00CE1301" w:rsidRPr="00CE1301" w:rsidRDefault="00CE1301" w:rsidP="00CE1301">
      <w:pPr>
        <w:pStyle w:val="Rlit"/>
      </w:pPr>
      <w:r w:rsidRPr="00CE1301">
        <w:t xml:space="preserve">Buildings – Topics – IEA. IEA. Retrieved from: </w:t>
      </w:r>
      <w:hyperlink r:id="rId21" w:tgtFrame="_blank" w:history="1">
        <w:r w:rsidRPr="00CE1301">
          <w:t>https://www.iea.org/topics/buildings</w:t>
        </w:r>
      </w:hyperlink>
    </w:p>
    <w:p w14:paraId="7354252D" w14:textId="77777777" w:rsidR="00CE1301" w:rsidRPr="00CE1301" w:rsidRDefault="00CE1301" w:rsidP="00CE1301">
      <w:pPr>
        <w:pStyle w:val="Rlit"/>
        <w:jc w:val="left"/>
      </w:pPr>
      <w:r w:rsidRPr="00CE1301">
        <w:t>Calculation of CO</w:t>
      </w:r>
      <w:r w:rsidRPr="00CE1301">
        <w:rPr>
          <w:vertAlign w:val="subscript"/>
        </w:rPr>
        <w:t>2</w:t>
      </w:r>
      <w:r w:rsidRPr="00CE1301">
        <w:t xml:space="preserve"> emission reductions – </w:t>
      </w:r>
      <w:proofErr w:type="spellStart"/>
      <w:r w:rsidRPr="00CE1301">
        <w:t>Unisolar</w:t>
      </w:r>
      <w:proofErr w:type="spellEnd"/>
      <w:r w:rsidRPr="00CE1301">
        <w:t xml:space="preserve">. </w:t>
      </w:r>
      <w:proofErr w:type="spellStart"/>
      <w:r w:rsidRPr="00CE1301">
        <w:t>Unisolar</w:t>
      </w:r>
      <w:proofErr w:type="spellEnd"/>
      <w:r w:rsidRPr="00CE1301">
        <w:t xml:space="preserve">. Retrieved from: </w:t>
      </w:r>
      <w:hyperlink r:id="rId22" w:tgtFrame="_blank" w:history="1">
        <w:r w:rsidRPr="00CE1301">
          <w:t>https://unisolar.com.ua/en/blog-en/prorahunok-zmenshennya-vikidiv-co2/</w:t>
        </w:r>
      </w:hyperlink>
      <w:r w:rsidRPr="00CE1301">
        <w:t>.</w:t>
      </w:r>
    </w:p>
    <w:p w14:paraId="7E231C11" w14:textId="77777777" w:rsidR="00CE1301" w:rsidRPr="00CE1301" w:rsidRDefault="00CE1301" w:rsidP="00CE1301">
      <w:pPr>
        <w:pStyle w:val="Rlit"/>
      </w:pPr>
      <w:r w:rsidRPr="00CE1301">
        <w:t xml:space="preserve">Carbon Footprint Calculator. Retrieved from: </w:t>
      </w:r>
      <w:hyperlink r:id="rId23" w:tgtFrame="_blank" w:history="1">
        <w:r w:rsidRPr="00CE1301">
          <w:t>https://www.carbonfootprint.com/calculator.aspx</w:t>
        </w:r>
      </w:hyperlink>
      <w:r w:rsidRPr="00CE1301">
        <w:t>.</w:t>
      </w:r>
    </w:p>
    <w:p w14:paraId="23F8A799" w14:textId="77777777" w:rsidR="00CE1301" w:rsidRPr="00CE1301" w:rsidRDefault="00CE1301" w:rsidP="00CE1301">
      <w:pPr>
        <w:pStyle w:val="Rlit"/>
      </w:pPr>
      <w:proofErr w:type="spellStart"/>
      <w:r w:rsidRPr="00CE1301">
        <w:lastRenderedPageBreak/>
        <w:t>Deshko</w:t>
      </w:r>
      <w:proofErr w:type="spellEnd"/>
      <w:r w:rsidRPr="00CE1301">
        <w:t xml:space="preserve">, V., Bilous, I., Buyak, N., </w:t>
      </w:r>
      <w:proofErr w:type="spellStart"/>
      <w:r w:rsidRPr="00CE1301">
        <w:t>Naumchuk</w:t>
      </w:r>
      <w:proofErr w:type="spellEnd"/>
      <w:r w:rsidRPr="00CE1301">
        <w:t xml:space="preserve">, O. (2023). Analysis of directions to increase the energy efficiency of office buildings in Ukraine to the </w:t>
      </w:r>
      <w:proofErr w:type="spellStart"/>
      <w:r w:rsidRPr="00CE1301">
        <w:t>nZEB</w:t>
      </w:r>
      <w:proofErr w:type="spellEnd"/>
      <w:r w:rsidRPr="00CE1301">
        <w:t xml:space="preserve"> level. </w:t>
      </w:r>
      <w:r w:rsidRPr="00CE1301">
        <w:rPr>
          <w:i/>
          <w:iCs/>
        </w:rPr>
        <w:t>Energy and automation</w:t>
      </w:r>
      <w:r w:rsidRPr="00CE1301">
        <w:t xml:space="preserve">, </w:t>
      </w:r>
      <w:r w:rsidRPr="00CE1301">
        <w:rPr>
          <w:i/>
          <w:iCs/>
        </w:rPr>
        <w:t>I</w:t>
      </w:r>
      <w:r w:rsidRPr="00CE1301">
        <w:t xml:space="preserve">, 150-164. (in Ukrainian). </w:t>
      </w:r>
      <w:r w:rsidRPr="00CE1301">
        <w:rPr>
          <w:rStyle w:val="Hipercze"/>
          <w:color w:val="auto"/>
          <w:u w:val="none"/>
        </w:rPr>
        <w:t>http://dx.doi.org/10.31548/energiya1(65).2023.150</w:t>
      </w:r>
    </w:p>
    <w:p w14:paraId="15424FF5" w14:textId="77777777" w:rsidR="00CE1301" w:rsidRPr="00CE1301" w:rsidRDefault="00CE1301" w:rsidP="00CE1301">
      <w:pPr>
        <w:pStyle w:val="Rlit"/>
      </w:pPr>
      <w:proofErr w:type="spellStart"/>
      <w:r w:rsidRPr="00CE1301">
        <w:t>Deshko</w:t>
      </w:r>
      <w:proofErr w:type="spellEnd"/>
      <w:r w:rsidRPr="00CE1301">
        <w:t xml:space="preserve">, V., Buyak, N., Bilous, I., </w:t>
      </w:r>
      <w:proofErr w:type="spellStart"/>
      <w:r w:rsidRPr="00CE1301">
        <w:t>Naumchuk</w:t>
      </w:r>
      <w:proofErr w:type="spellEnd"/>
      <w:r w:rsidRPr="00CE1301">
        <w:t xml:space="preserve">, O. (2022). Economic assessment of increasing thermal protection of municipal buildings to modern European requirements. </w:t>
      </w:r>
      <w:r w:rsidRPr="00CE1301">
        <w:rPr>
          <w:i/>
          <w:iCs/>
        </w:rPr>
        <w:t>Power Eng.: Econ., Tech., Ecol.</w:t>
      </w:r>
      <w:r w:rsidRPr="00CE1301">
        <w:t xml:space="preserve">, </w:t>
      </w:r>
      <w:r w:rsidRPr="00CE1301">
        <w:rPr>
          <w:i/>
          <w:iCs/>
        </w:rPr>
        <w:t>2</w:t>
      </w:r>
      <w:r w:rsidRPr="00CE1301">
        <w:t xml:space="preserve">, 7-18. (in Ukrainian). </w:t>
      </w:r>
      <w:hyperlink r:id="rId24" w:history="1">
        <w:r w:rsidRPr="00CE1301">
          <w:rPr>
            <w:rStyle w:val="Hipercze"/>
            <w:color w:val="auto"/>
            <w:u w:val="none"/>
          </w:rPr>
          <w:t>https://doi.org/10.20535/1813-5420.2.2022.261277</w:t>
        </w:r>
      </w:hyperlink>
    </w:p>
    <w:p w14:paraId="7697A95F" w14:textId="3794C018" w:rsidR="00F00068" w:rsidRDefault="00F00068" w:rsidP="00F00068">
      <w:pPr>
        <w:pStyle w:val="Rlit"/>
        <w:jc w:val="left"/>
      </w:pPr>
      <w:proofErr w:type="spellStart"/>
      <w:r w:rsidRPr="00F00068">
        <w:t>Deshko</w:t>
      </w:r>
      <w:proofErr w:type="spellEnd"/>
      <w:r w:rsidRPr="00F00068">
        <w:t xml:space="preserve">, V., </w:t>
      </w:r>
      <w:proofErr w:type="spellStart"/>
      <w:r w:rsidRPr="00F00068">
        <w:t>Naumchuk</w:t>
      </w:r>
      <w:proofErr w:type="spellEnd"/>
      <w:r w:rsidRPr="00F00068">
        <w:t xml:space="preserve">, O. (2023). Evaluation of the efficiency of the options for the </w:t>
      </w:r>
      <w:proofErr w:type="spellStart"/>
      <w:r w:rsidRPr="00F00068">
        <w:t>moderni</w:t>
      </w:r>
      <w:r w:rsidR="004D5C85">
        <w:t>s</w:t>
      </w:r>
      <w:r w:rsidRPr="00F00068">
        <w:t>ation</w:t>
      </w:r>
      <w:proofErr w:type="spellEnd"/>
      <w:r w:rsidRPr="00F00068">
        <w:t xml:space="preserve"> of the heat supply and thermal protection of the office building. </w:t>
      </w:r>
      <w:r w:rsidRPr="00F00068">
        <w:rPr>
          <w:i/>
          <w:iCs/>
        </w:rPr>
        <w:t>Collection of Scientific Works of the Ukrainian State University of Railway Transport</w:t>
      </w:r>
      <w:r>
        <w:t>,</w:t>
      </w:r>
      <w:r w:rsidRPr="00F00068">
        <w:t xml:space="preserve"> </w:t>
      </w:r>
      <w:r w:rsidRPr="00F00068">
        <w:rPr>
          <w:i/>
          <w:iCs/>
        </w:rPr>
        <w:t>2</w:t>
      </w:r>
      <w:r>
        <w:t>,</w:t>
      </w:r>
      <w:r w:rsidRPr="00F00068">
        <w:t xml:space="preserve"> 12-26. </w:t>
      </w:r>
      <w:r>
        <w:t>(</w:t>
      </w:r>
      <w:r w:rsidRPr="00F00068">
        <w:t>in Ukrainian</w:t>
      </w:r>
      <w:r>
        <w:t>)</w:t>
      </w:r>
      <w:r w:rsidRPr="00F00068">
        <w:t xml:space="preserve">. </w:t>
      </w:r>
      <w:r w:rsidRPr="00CE1301">
        <w:t xml:space="preserve">Retrieved from: </w:t>
      </w:r>
      <w:r w:rsidRPr="00F00068">
        <w:t>https://kart.edu.ua/wp-content/uploads/2023/07/tht_zbirn_204.pdf</w:t>
      </w:r>
    </w:p>
    <w:p w14:paraId="2C022666" w14:textId="05C52135" w:rsidR="00CE1301" w:rsidRPr="00CE1301" w:rsidRDefault="00CE1301" w:rsidP="00CE1301">
      <w:pPr>
        <w:pStyle w:val="Rlit"/>
      </w:pPr>
      <w:r w:rsidRPr="00CE1301">
        <w:t>Directive 2010/31/EU of the European Parliament and of the Council of 19 May 2010 – Energy Performance of Buildings Directive – EPBD//EN L 153/13-35, 19.05.2010</w:t>
      </w:r>
    </w:p>
    <w:p w14:paraId="6987D9F7" w14:textId="77777777" w:rsidR="00CE1301" w:rsidRPr="00CE1301" w:rsidRDefault="00CE1301" w:rsidP="00CE1301">
      <w:pPr>
        <w:pStyle w:val="Rlit"/>
      </w:pPr>
      <w:r w:rsidRPr="00CE1301">
        <w:t xml:space="preserve">Ecological-economic calculations of pollutant emissions. Institute of Doctoral and Postgraduate Studies – Vinnitsa National Technical University. Retrieved from: </w:t>
      </w:r>
      <w:hyperlink r:id="rId25" w:tgtFrame="_blank" w:history="1">
        <w:r w:rsidRPr="00CE1301">
          <w:t>http://inmad.vntu.edu.ua/portal/static/16C6EA96-BCB1-4B60-948B-DD62552C9925.pdf</w:t>
        </w:r>
      </w:hyperlink>
      <w:r w:rsidRPr="00CE1301">
        <w:t>.</w:t>
      </w:r>
    </w:p>
    <w:p w14:paraId="1BC1BA71" w14:textId="77777777" w:rsidR="00CE1301" w:rsidRDefault="00CE1301" w:rsidP="00CE1301">
      <w:pPr>
        <w:pStyle w:val="Rlit"/>
      </w:pPr>
      <w:proofErr w:type="spellStart"/>
      <w:r w:rsidRPr="00CE1301">
        <w:t>GeoT</w:t>
      </w:r>
      <w:proofErr w:type="spellEnd"/>
      <w:r w:rsidRPr="00CE1301">
        <w:t xml:space="preserve">*SOL – The Calculation and simulation software for heat pump systems. Valentin Software | </w:t>
      </w:r>
      <w:proofErr w:type="spellStart"/>
      <w:r w:rsidRPr="00CE1301">
        <w:t>Planungs</w:t>
      </w:r>
      <w:proofErr w:type="spellEnd"/>
      <w:r w:rsidRPr="00CE1301">
        <w:t xml:space="preserve">- und </w:t>
      </w:r>
      <w:proofErr w:type="spellStart"/>
      <w:r w:rsidRPr="00CE1301">
        <w:t>Simulationssoftware</w:t>
      </w:r>
      <w:proofErr w:type="spellEnd"/>
      <w:r w:rsidRPr="00CE1301">
        <w:t xml:space="preserve"> für </w:t>
      </w:r>
      <w:proofErr w:type="spellStart"/>
      <w:r w:rsidRPr="00CE1301">
        <w:t>erneuerbare</w:t>
      </w:r>
      <w:proofErr w:type="spellEnd"/>
      <w:r w:rsidRPr="00CE1301">
        <w:t xml:space="preserve"> </w:t>
      </w:r>
      <w:proofErr w:type="spellStart"/>
      <w:r w:rsidRPr="00CE1301">
        <w:t>Energien</w:t>
      </w:r>
      <w:proofErr w:type="spellEnd"/>
      <w:r w:rsidRPr="00CE1301">
        <w:t xml:space="preserve">. Retrieved from: </w:t>
      </w:r>
      <w:hyperlink r:id="rId26" w:tgtFrame="_blank" w:history="1">
        <w:r w:rsidRPr="00CE1301">
          <w:t>https://valentin-software.com/en/products/geotsol/</w:t>
        </w:r>
      </w:hyperlink>
    </w:p>
    <w:p w14:paraId="655A7D46" w14:textId="5BDD09FD" w:rsidR="004E3F8F" w:rsidRPr="00CE1301" w:rsidRDefault="004E3F8F" w:rsidP="00CE1301">
      <w:pPr>
        <w:pStyle w:val="Rlit"/>
      </w:pPr>
      <w:proofErr w:type="spellStart"/>
      <w:r w:rsidRPr="004E3F8F">
        <w:t>Hermelink</w:t>
      </w:r>
      <w:proofErr w:type="spellEnd"/>
      <w:r>
        <w:t>,</w:t>
      </w:r>
      <w:r w:rsidRPr="004E3F8F">
        <w:t xml:space="preserve"> А.Н., de Jage</w:t>
      </w:r>
      <w:r>
        <w:t xml:space="preserve">, </w:t>
      </w:r>
      <w:r w:rsidRPr="004E3F8F">
        <w:t>D</w:t>
      </w:r>
      <w:r>
        <w:t>.</w:t>
      </w:r>
      <w:r w:rsidRPr="004E3F8F">
        <w:t xml:space="preserve"> (2015). </w:t>
      </w:r>
      <w:r w:rsidRPr="004E3F8F">
        <w:rPr>
          <w:i/>
          <w:iCs/>
        </w:rPr>
        <w:t>Evaluating our future – The crucial role of discount rates in European Commission energy system modelling</w:t>
      </w:r>
      <w:r w:rsidRPr="004E3F8F">
        <w:t>. The Europe an Council for an Energy Efﬁcient Economy (</w:t>
      </w:r>
      <w:proofErr w:type="spellStart"/>
      <w:r w:rsidRPr="004E3F8F">
        <w:t>eceee</w:t>
      </w:r>
      <w:proofErr w:type="spellEnd"/>
      <w:r w:rsidRPr="004E3F8F">
        <w:t xml:space="preserve">) &amp; </w:t>
      </w:r>
      <w:proofErr w:type="spellStart"/>
      <w:r w:rsidRPr="004E3F8F">
        <w:t>Ecofys</w:t>
      </w:r>
      <w:proofErr w:type="spellEnd"/>
      <w:r>
        <w:t xml:space="preserve">. </w:t>
      </w:r>
      <w:r w:rsidRPr="00CE1301">
        <w:t xml:space="preserve">Retrieved from: </w:t>
      </w:r>
      <w:r w:rsidRPr="004E3F8F">
        <w:t>https://doi.org/10.13140/RG.2.2.20152.65285</w:t>
      </w:r>
    </w:p>
    <w:p w14:paraId="721A2F21" w14:textId="77777777" w:rsidR="00CE1301" w:rsidRPr="00CE1301" w:rsidRDefault="00CE1301" w:rsidP="00CE1301">
      <w:pPr>
        <w:pStyle w:val="Rlit"/>
        <w:jc w:val="left"/>
      </w:pPr>
      <w:proofErr w:type="spellStart"/>
      <w:r w:rsidRPr="00CE1301">
        <w:t>Shkarovskiy</w:t>
      </w:r>
      <w:proofErr w:type="spellEnd"/>
      <w:r w:rsidRPr="00CE1301">
        <w:t xml:space="preserve">, A., Mamedov, S. (2021). Improving the Efficiency of Non-Stationary Climate Control in Buildings with a Non-Constant Stay of People by Using Porous Materials. </w:t>
      </w:r>
      <w:r w:rsidRPr="005E185B">
        <w:rPr>
          <w:i/>
          <w:iCs/>
        </w:rPr>
        <w:t>Materials</w:t>
      </w:r>
      <w:r w:rsidRPr="00CE1301">
        <w:t xml:space="preserve">, </w:t>
      </w:r>
      <w:r w:rsidRPr="005E185B">
        <w:rPr>
          <w:i/>
          <w:iCs/>
        </w:rPr>
        <w:t>14</w:t>
      </w:r>
      <w:r w:rsidRPr="00CE1301">
        <w:t xml:space="preserve">(9). 2307. </w:t>
      </w:r>
      <w:r w:rsidRPr="00CE1301">
        <w:rPr>
          <w:rStyle w:val="Hipercze"/>
          <w:color w:val="auto"/>
          <w:u w:val="none"/>
        </w:rPr>
        <w:t>https://doi.org/</w:t>
      </w:r>
      <w:r w:rsidRPr="00CE1301">
        <w:t>10.3390/ma14092307</w:t>
      </w:r>
    </w:p>
    <w:p w14:paraId="718EFA06" w14:textId="77777777" w:rsidR="00CE1301" w:rsidRPr="00CE1301" w:rsidRDefault="00CE1301" w:rsidP="00CE1301">
      <w:pPr>
        <w:pStyle w:val="Rlit"/>
        <w:jc w:val="left"/>
      </w:pPr>
      <w:r w:rsidRPr="00CE1301">
        <w:t xml:space="preserve">Smirnova, E., Mamedov, Sh., </w:t>
      </w:r>
      <w:proofErr w:type="spellStart"/>
      <w:r w:rsidRPr="00CE1301">
        <w:t>Shkarovskiy</w:t>
      </w:r>
      <w:proofErr w:type="spellEnd"/>
      <w:r w:rsidRPr="00CE1301">
        <w:t xml:space="preserve">, A. (2022). Improving the Environmental Safety Risk Assessment in Construction Using Statistical Analysis Methods. </w:t>
      </w:r>
      <w:proofErr w:type="spellStart"/>
      <w:r w:rsidRPr="005E185B">
        <w:rPr>
          <w:i/>
          <w:iCs/>
        </w:rPr>
        <w:t>Rocznik</w:t>
      </w:r>
      <w:proofErr w:type="spellEnd"/>
      <w:r w:rsidRPr="005E185B">
        <w:rPr>
          <w:i/>
          <w:iCs/>
        </w:rPr>
        <w:t xml:space="preserve"> </w:t>
      </w:r>
      <w:proofErr w:type="spellStart"/>
      <w:r w:rsidRPr="005E185B">
        <w:rPr>
          <w:i/>
          <w:iCs/>
        </w:rPr>
        <w:t>Ochrona</w:t>
      </w:r>
      <w:proofErr w:type="spellEnd"/>
      <w:r w:rsidRPr="005E185B">
        <w:rPr>
          <w:i/>
          <w:iCs/>
        </w:rPr>
        <w:t xml:space="preserve"> </w:t>
      </w:r>
      <w:proofErr w:type="spellStart"/>
      <w:r w:rsidRPr="005E185B">
        <w:rPr>
          <w:i/>
          <w:iCs/>
        </w:rPr>
        <w:t>Środowiska</w:t>
      </w:r>
      <w:proofErr w:type="spellEnd"/>
      <w:r w:rsidRPr="00CE1301">
        <w:t xml:space="preserve">, </w:t>
      </w:r>
      <w:r w:rsidRPr="005E185B">
        <w:rPr>
          <w:i/>
          <w:iCs/>
        </w:rPr>
        <w:t>24</w:t>
      </w:r>
      <w:r w:rsidRPr="00CE1301">
        <w:t xml:space="preserve">, 110-128 </w:t>
      </w:r>
      <w:r w:rsidRPr="00CE1301">
        <w:rPr>
          <w:rStyle w:val="Hipercze"/>
          <w:color w:val="auto"/>
          <w:u w:val="none"/>
        </w:rPr>
        <w:t>https://doi.org/</w:t>
      </w:r>
      <w:r w:rsidRPr="00CE1301">
        <w:t>10.54740/ros.2022.009</w:t>
      </w:r>
    </w:p>
    <w:sectPr w:rsidR="00CE1301" w:rsidRPr="00CE1301" w:rsidSect="003E6E15">
      <w:headerReference w:type="even" r:id="rId27"/>
      <w:headerReference w:type="default" r:id="rId28"/>
      <w:footerReference w:type="first" r:id="rId29"/>
      <w:pgSz w:w="11906" w:h="16838" w:code="9"/>
      <w:pgMar w:top="1134" w:right="1134" w:bottom="1134" w:left="1134" w:header="567" w:footer="567" w:gutter="0"/>
      <w:pgNumType w:start="14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C218" w14:textId="77777777" w:rsidR="00091D13" w:rsidRDefault="00091D13" w:rsidP="00B3607E">
      <w:pPr>
        <w:spacing w:after="0" w:line="240" w:lineRule="auto"/>
      </w:pPr>
      <w:r>
        <w:separator/>
      </w:r>
    </w:p>
  </w:endnote>
  <w:endnote w:type="continuationSeparator" w:id="0">
    <w:p w14:paraId="53A2E2BC" w14:textId="77777777" w:rsidR="00091D13" w:rsidRDefault="00091D13" w:rsidP="00B3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B75D1C" w:rsidRPr="00B75D1C" w14:paraId="59659A27" w14:textId="77777777" w:rsidTr="004E3B0F">
      <w:trPr>
        <w:trHeight w:val="198"/>
      </w:trPr>
      <w:tc>
        <w:tcPr>
          <w:tcW w:w="1384" w:type="dxa"/>
          <w:shd w:val="clear" w:color="auto" w:fill="auto"/>
          <w:vAlign w:val="center"/>
        </w:tcPr>
        <w:p w14:paraId="4B9D9280" w14:textId="77777777" w:rsidR="00B75D1C" w:rsidRPr="00B75D1C" w:rsidRDefault="00B75D1C" w:rsidP="00B75D1C">
          <w:pPr>
            <w:spacing w:after="0" w:line="240" w:lineRule="auto"/>
            <w:rPr>
              <w:rFonts w:ascii="Times New Roman" w:hAnsi="Times New Roman"/>
            </w:rPr>
          </w:pPr>
          <w:bookmarkStart w:id="2" w:name="_Hlk104286226"/>
          <w:bookmarkStart w:id="3" w:name="_Hlk104286227"/>
          <w:r w:rsidRPr="00B75D1C">
            <w:rPr>
              <w:rFonts w:ascii="Times New Roman" w:hAnsi="Times New Roman"/>
              <w:noProof/>
            </w:rPr>
            <w:drawing>
              <wp:inline distT="0" distB="0" distL="0" distR="0" wp14:anchorId="550B80BC" wp14:editId="3556A276">
                <wp:extent cx="687070" cy="232410"/>
                <wp:effectExtent l="0" t="0" r="0" b="0"/>
                <wp:docPr id="13837102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 cy="232410"/>
                        </a:xfrm>
                        <a:prstGeom prst="rect">
                          <a:avLst/>
                        </a:prstGeom>
                        <a:noFill/>
                        <a:ln>
                          <a:noFill/>
                        </a:ln>
                      </pic:spPr>
                    </pic:pic>
                  </a:graphicData>
                </a:graphic>
              </wp:inline>
            </w:drawing>
          </w:r>
        </w:p>
      </w:tc>
      <w:tc>
        <w:tcPr>
          <w:tcW w:w="5387" w:type="dxa"/>
          <w:shd w:val="clear" w:color="auto" w:fill="auto"/>
          <w:vAlign w:val="center"/>
        </w:tcPr>
        <w:p w14:paraId="770A18C8" w14:textId="77777777" w:rsidR="00B75D1C" w:rsidRPr="00B75D1C" w:rsidRDefault="00B75D1C" w:rsidP="00B75D1C">
          <w:pPr>
            <w:suppressAutoHyphens/>
            <w:spacing w:after="0" w:line="240" w:lineRule="auto"/>
            <w:rPr>
              <w:rFonts w:ascii="Times New Roman" w:hAnsi="Times New Roman"/>
              <w:sz w:val="18"/>
              <w:szCs w:val="18"/>
              <w:lang w:val="en-GB"/>
            </w:rPr>
          </w:pPr>
          <w:r w:rsidRPr="00B75D1C">
            <w:rPr>
              <w:rFonts w:ascii="Times New Roman" w:hAnsi="Times New Roman"/>
              <w:sz w:val="18"/>
              <w:szCs w:val="18"/>
              <w:lang w:val="en-GB"/>
            </w:rPr>
            <w:t>© 2023. Author(s). This work is licensed under a Creative Commons Attribution 4.0 International License (CC BY-SA)</w:t>
          </w:r>
        </w:p>
      </w:tc>
    </w:tr>
    <w:bookmarkEnd w:id="2"/>
    <w:bookmarkEnd w:id="3"/>
  </w:tbl>
  <w:p w14:paraId="29D7C0C8" w14:textId="77777777" w:rsidR="00B75D1C" w:rsidRPr="00B75D1C" w:rsidRDefault="00B75D1C" w:rsidP="00B75D1C">
    <w:pPr>
      <w:pStyle w:val="Stopka"/>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7372" w14:textId="77777777" w:rsidR="00091D13" w:rsidRDefault="00091D13" w:rsidP="00B3607E">
      <w:pPr>
        <w:spacing w:after="0" w:line="240" w:lineRule="auto"/>
      </w:pPr>
      <w:r>
        <w:separator/>
      </w:r>
    </w:p>
  </w:footnote>
  <w:footnote w:type="continuationSeparator" w:id="0">
    <w:p w14:paraId="3AF31B11" w14:textId="77777777" w:rsidR="00091D13" w:rsidRDefault="00091D13" w:rsidP="00B36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B75D1C" w:rsidRPr="00CD19B2" w14:paraId="3B5B0EA1" w14:textId="77777777" w:rsidTr="004E3B0F">
      <w:trPr>
        <w:trHeight w:hRule="exact" w:val="284"/>
      </w:trPr>
      <w:tc>
        <w:tcPr>
          <w:tcW w:w="397" w:type="dxa"/>
          <w:shd w:val="clear" w:color="auto" w:fill="auto"/>
          <w:vAlign w:val="center"/>
        </w:tcPr>
        <w:p w14:paraId="03138169" w14:textId="77777777" w:rsidR="00B75D1C" w:rsidRPr="00911802" w:rsidRDefault="00B75D1C" w:rsidP="00B75D1C">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78</w:t>
          </w:r>
          <w:r w:rsidRPr="00911802">
            <w:rPr>
              <w:rFonts w:ascii="Arial" w:hAnsi="Arial" w:cs="Arial"/>
              <w:sz w:val="20"/>
              <w:szCs w:val="18"/>
            </w:rPr>
            <w:fldChar w:fldCharType="end"/>
          </w:r>
        </w:p>
      </w:tc>
      <w:tc>
        <w:tcPr>
          <w:tcW w:w="9242" w:type="dxa"/>
          <w:shd w:val="clear" w:color="auto" w:fill="auto"/>
          <w:vAlign w:val="center"/>
        </w:tcPr>
        <w:p w14:paraId="1E5844FB" w14:textId="77777777" w:rsidR="00B75D1C" w:rsidRPr="000A241A" w:rsidRDefault="00B75D1C" w:rsidP="00B75D1C">
          <w:pPr>
            <w:pStyle w:val="Nagwek"/>
            <w:jc w:val="center"/>
            <w:rPr>
              <w:rFonts w:ascii="Arial" w:hAnsi="Arial" w:cs="Arial"/>
              <w:i/>
              <w:sz w:val="20"/>
              <w:szCs w:val="18"/>
            </w:rPr>
          </w:pPr>
          <w:r w:rsidRPr="00B64298">
            <w:rPr>
              <w:rFonts w:ascii="Arial" w:hAnsi="Arial" w:cs="Arial"/>
              <w:i/>
              <w:sz w:val="20"/>
              <w:szCs w:val="18"/>
            </w:rPr>
            <w:t>Valeriі Deshko</w:t>
          </w:r>
          <w:r>
            <w:rPr>
              <w:rFonts w:ascii="Arial" w:hAnsi="Arial" w:cs="Arial"/>
              <w:i/>
              <w:sz w:val="20"/>
              <w:szCs w:val="18"/>
            </w:rPr>
            <w:t xml:space="preserve"> et al.</w:t>
          </w:r>
        </w:p>
      </w:tc>
    </w:tr>
  </w:tbl>
  <w:p w14:paraId="2F4CFEDF" w14:textId="77777777" w:rsidR="00B75D1C" w:rsidRPr="000A241A" w:rsidRDefault="00B75D1C" w:rsidP="00B75D1C">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B75D1C" w:rsidRPr="00911802" w14:paraId="69FCF9C1" w14:textId="77777777" w:rsidTr="004E3B0F">
      <w:trPr>
        <w:trHeight w:hRule="exact" w:val="284"/>
        <w:jc w:val="right"/>
      </w:trPr>
      <w:tc>
        <w:tcPr>
          <w:tcW w:w="9243" w:type="dxa"/>
          <w:shd w:val="clear" w:color="auto" w:fill="auto"/>
          <w:vAlign w:val="center"/>
        </w:tcPr>
        <w:p w14:paraId="27B69E78" w14:textId="38B33091" w:rsidR="00B75D1C" w:rsidRPr="005117CD" w:rsidRDefault="00B75D1C" w:rsidP="00B75D1C">
          <w:pPr>
            <w:pStyle w:val="Nagwek"/>
            <w:jc w:val="center"/>
            <w:rPr>
              <w:rFonts w:ascii="Arial" w:hAnsi="Arial" w:cs="Arial"/>
              <w:i/>
              <w:sz w:val="20"/>
              <w:szCs w:val="18"/>
              <w:lang w:val="en-GB"/>
            </w:rPr>
          </w:pPr>
          <w:r w:rsidRPr="00B75D1C">
            <w:rPr>
              <w:rFonts w:ascii="Arial" w:hAnsi="Arial" w:cs="Arial"/>
              <w:i/>
              <w:sz w:val="20"/>
              <w:szCs w:val="18"/>
              <w:lang w:val="en-GB"/>
            </w:rPr>
            <w:t>Prospects for the Use of Renewable Energy Sources</w:t>
          </w:r>
          <w:r w:rsidRPr="005117CD">
            <w:rPr>
              <w:rFonts w:ascii="Arial" w:hAnsi="Arial" w:cs="Arial"/>
              <w:i/>
              <w:sz w:val="20"/>
              <w:szCs w:val="18"/>
              <w:lang w:val="en-GB"/>
            </w:rPr>
            <w:t>…</w:t>
          </w:r>
        </w:p>
      </w:tc>
      <w:tc>
        <w:tcPr>
          <w:tcW w:w="397" w:type="dxa"/>
          <w:shd w:val="clear" w:color="auto" w:fill="auto"/>
          <w:vAlign w:val="center"/>
        </w:tcPr>
        <w:p w14:paraId="23EA2E3F" w14:textId="77777777" w:rsidR="00B75D1C" w:rsidRPr="00911802" w:rsidRDefault="00B75D1C" w:rsidP="00B75D1C">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79</w:t>
          </w:r>
          <w:r w:rsidRPr="00911802">
            <w:rPr>
              <w:rFonts w:ascii="Arial" w:hAnsi="Arial" w:cs="Arial"/>
              <w:sz w:val="20"/>
              <w:szCs w:val="18"/>
            </w:rPr>
            <w:fldChar w:fldCharType="end"/>
          </w:r>
        </w:p>
      </w:tc>
    </w:tr>
  </w:tbl>
  <w:p w14:paraId="29065D45" w14:textId="77777777" w:rsidR="00B75D1C" w:rsidRPr="00911802" w:rsidRDefault="00B75D1C" w:rsidP="00B75D1C">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D05"/>
    <w:multiLevelType w:val="multilevel"/>
    <w:tmpl w:val="6456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828AB"/>
    <w:multiLevelType w:val="hybridMultilevel"/>
    <w:tmpl w:val="AE300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96B6E"/>
    <w:multiLevelType w:val="hybridMultilevel"/>
    <w:tmpl w:val="A5B4600A"/>
    <w:lvl w:ilvl="0" w:tplc="D3EA71EA">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8217A94"/>
    <w:multiLevelType w:val="hybridMultilevel"/>
    <w:tmpl w:val="12860994"/>
    <w:lvl w:ilvl="0" w:tplc="65A85BE6">
      <w:start w:val="1"/>
      <w:numFmt w:val="decimal"/>
      <w:lvlText w:val="%1."/>
      <w:lvlJc w:val="left"/>
      <w:pPr>
        <w:ind w:left="720" w:hanging="36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9936A9D"/>
    <w:multiLevelType w:val="hybridMultilevel"/>
    <w:tmpl w:val="A5A09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B4F4F"/>
    <w:multiLevelType w:val="hybridMultilevel"/>
    <w:tmpl w:val="D56E6DF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E63234"/>
    <w:multiLevelType w:val="multilevel"/>
    <w:tmpl w:val="6F2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B3DFD"/>
    <w:multiLevelType w:val="hybridMultilevel"/>
    <w:tmpl w:val="A9B86C7E"/>
    <w:lvl w:ilvl="0" w:tplc="19124FB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458BA"/>
    <w:multiLevelType w:val="multilevel"/>
    <w:tmpl w:val="28C6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5247FE"/>
    <w:multiLevelType w:val="hybridMultilevel"/>
    <w:tmpl w:val="611035AC"/>
    <w:lvl w:ilvl="0" w:tplc="6C209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D25F68"/>
    <w:multiLevelType w:val="hybridMultilevel"/>
    <w:tmpl w:val="BFBAD50C"/>
    <w:lvl w:ilvl="0" w:tplc="B608D0C8">
      <w:start w:val="28"/>
      <w:numFmt w:val="decimal"/>
      <w:pStyle w:val="PSAuthors"/>
      <w:lvlText w:val="%1."/>
      <w:lvlJc w:val="left"/>
      <w:pPr>
        <w:ind w:left="1080" w:hanging="360"/>
      </w:pPr>
      <w:rPr>
        <w:lang w:val="ru-RU"/>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4003CF3"/>
    <w:multiLevelType w:val="hybridMultilevel"/>
    <w:tmpl w:val="4E7E89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399A19DE">
      <w:start w:val="1"/>
      <w:numFmt w:val="decimal"/>
      <w:lvlText w:val="%4."/>
      <w:lvlJc w:val="left"/>
      <w:pPr>
        <w:ind w:left="2880" w:hanging="360"/>
      </w:pPr>
      <w:rPr>
        <w:rFonts w:ascii="Times New Roman" w:eastAsia="Calibri" w:hAnsi="Times New Roman" w:cs="Times New Roman"/>
        <w:b w:val="0"/>
        <w:bCs w:val="0"/>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9C362E8"/>
    <w:multiLevelType w:val="hybridMultilevel"/>
    <w:tmpl w:val="69D8F848"/>
    <w:lvl w:ilvl="0" w:tplc="8C8E89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9C9479C"/>
    <w:multiLevelType w:val="multilevel"/>
    <w:tmpl w:val="CDF0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35818"/>
    <w:multiLevelType w:val="hybridMultilevel"/>
    <w:tmpl w:val="532E64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93F96"/>
    <w:multiLevelType w:val="multilevel"/>
    <w:tmpl w:val="453C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874B0"/>
    <w:multiLevelType w:val="hybridMultilevel"/>
    <w:tmpl w:val="08806652"/>
    <w:lvl w:ilvl="0" w:tplc="19124F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D9004DA"/>
    <w:multiLevelType w:val="hybridMultilevel"/>
    <w:tmpl w:val="8C0C3C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E7831A6"/>
    <w:multiLevelType w:val="hybridMultilevel"/>
    <w:tmpl w:val="DB8409F6"/>
    <w:lvl w:ilvl="0" w:tplc="19124FB4">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18D7018"/>
    <w:multiLevelType w:val="multilevel"/>
    <w:tmpl w:val="89D8A8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2050585"/>
    <w:multiLevelType w:val="multilevel"/>
    <w:tmpl w:val="DE0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E2D52"/>
    <w:multiLevelType w:val="hybridMultilevel"/>
    <w:tmpl w:val="39748AC0"/>
    <w:lvl w:ilvl="0" w:tplc="19124F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3B51B26"/>
    <w:multiLevelType w:val="hybridMultilevel"/>
    <w:tmpl w:val="CFF81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707B41"/>
    <w:multiLevelType w:val="hybridMultilevel"/>
    <w:tmpl w:val="76840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83642A"/>
    <w:multiLevelType w:val="hybridMultilevel"/>
    <w:tmpl w:val="3FC0F59C"/>
    <w:lvl w:ilvl="0" w:tplc="4A88A8C0">
      <w:start w:val="3"/>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7540C0"/>
    <w:multiLevelType w:val="hybridMultilevel"/>
    <w:tmpl w:val="8968BB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E23102C"/>
    <w:multiLevelType w:val="hybridMultilevel"/>
    <w:tmpl w:val="B68E01CA"/>
    <w:lvl w:ilvl="0" w:tplc="2000000F">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F1005F5"/>
    <w:multiLevelType w:val="hybridMultilevel"/>
    <w:tmpl w:val="B81815C8"/>
    <w:lvl w:ilvl="0" w:tplc="69F448B4">
      <w:start w:val="1"/>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9016683"/>
    <w:multiLevelType w:val="hybridMultilevel"/>
    <w:tmpl w:val="09987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AE6B71"/>
    <w:multiLevelType w:val="hybridMultilevel"/>
    <w:tmpl w:val="24F641F2"/>
    <w:lvl w:ilvl="0" w:tplc="0419000D">
      <w:start w:val="1"/>
      <w:numFmt w:val="bullet"/>
      <w:lvlText w:val=""/>
      <w:lvlJc w:val="left"/>
      <w:pPr>
        <w:ind w:left="1206" w:hanging="360"/>
      </w:pPr>
      <w:rPr>
        <w:rFonts w:ascii="Wingdings" w:hAnsi="Wingdings"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num w:numId="1" w16cid:durableId="1012342800">
    <w:abstractNumId w:val="2"/>
  </w:num>
  <w:num w:numId="2" w16cid:durableId="159388676">
    <w:abstractNumId w:val="12"/>
  </w:num>
  <w:num w:numId="3" w16cid:durableId="1484617096">
    <w:abstractNumId w:val="29"/>
  </w:num>
  <w:num w:numId="4" w16cid:durableId="1326278362">
    <w:abstractNumId w:val="19"/>
  </w:num>
  <w:num w:numId="5" w16cid:durableId="405496753">
    <w:abstractNumId w:val="4"/>
  </w:num>
  <w:num w:numId="6" w16cid:durableId="1105879880">
    <w:abstractNumId w:val="11"/>
  </w:num>
  <w:num w:numId="7" w16cid:durableId="661010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900199">
    <w:abstractNumId w:val="1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123959">
    <w:abstractNumId w:val="0"/>
  </w:num>
  <w:num w:numId="10" w16cid:durableId="991182205">
    <w:abstractNumId w:val="6"/>
  </w:num>
  <w:num w:numId="11" w16cid:durableId="1730837862">
    <w:abstractNumId w:val="20"/>
  </w:num>
  <w:num w:numId="12" w16cid:durableId="527185112">
    <w:abstractNumId w:val="15"/>
  </w:num>
  <w:num w:numId="13" w16cid:durableId="816919395">
    <w:abstractNumId w:val="13"/>
  </w:num>
  <w:num w:numId="14" w16cid:durableId="60298980">
    <w:abstractNumId w:val="17"/>
  </w:num>
  <w:num w:numId="15" w16cid:durableId="902182466">
    <w:abstractNumId w:val="26"/>
  </w:num>
  <w:num w:numId="16" w16cid:durableId="53889926">
    <w:abstractNumId w:val="9"/>
  </w:num>
  <w:num w:numId="17" w16cid:durableId="422844080">
    <w:abstractNumId w:val="3"/>
  </w:num>
  <w:num w:numId="18" w16cid:durableId="1258951388">
    <w:abstractNumId w:val="27"/>
  </w:num>
  <w:num w:numId="19" w16cid:durableId="932711095">
    <w:abstractNumId w:val="8"/>
  </w:num>
  <w:num w:numId="20" w16cid:durableId="1294942513">
    <w:abstractNumId w:val="1"/>
  </w:num>
  <w:num w:numId="21" w16cid:durableId="965310088">
    <w:abstractNumId w:val="22"/>
  </w:num>
  <w:num w:numId="22" w16cid:durableId="646126723">
    <w:abstractNumId w:val="28"/>
  </w:num>
  <w:num w:numId="23" w16cid:durableId="425275901">
    <w:abstractNumId w:val="14"/>
  </w:num>
  <w:num w:numId="24" w16cid:durableId="1508061803">
    <w:abstractNumId w:val="25"/>
  </w:num>
  <w:num w:numId="25" w16cid:durableId="1637877751">
    <w:abstractNumId w:val="21"/>
  </w:num>
  <w:num w:numId="26" w16cid:durableId="871454821">
    <w:abstractNumId w:val="7"/>
  </w:num>
  <w:num w:numId="27" w16cid:durableId="1473132581">
    <w:abstractNumId w:val="18"/>
  </w:num>
  <w:num w:numId="28" w16cid:durableId="771121619">
    <w:abstractNumId w:val="16"/>
  </w:num>
  <w:num w:numId="29" w16cid:durableId="1735814745">
    <w:abstractNumId w:val="23"/>
  </w:num>
  <w:num w:numId="30" w16cid:durableId="646785228">
    <w:abstractNumId w:val="24"/>
  </w:num>
  <w:num w:numId="31" w16cid:durableId="2080250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c3NzEzMTOysDQzsDRX0lEKTi0uzszPAykwrAUAXH6szSwAAAA="/>
  </w:docVars>
  <w:rsids>
    <w:rsidRoot w:val="00A73425"/>
    <w:rsid w:val="0000133A"/>
    <w:rsid w:val="00001C79"/>
    <w:rsid w:val="000026A5"/>
    <w:rsid w:val="000060A0"/>
    <w:rsid w:val="0001514B"/>
    <w:rsid w:val="000158D5"/>
    <w:rsid w:val="00027277"/>
    <w:rsid w:val="000412D2"/>
    <w:rsid w:val="00041D46"/>
    <w:rsid w:val="00043D9E"/>
    <w:rsid w:val="0004525B"/>
    <w:rsid w:val="000469A2"/>
    <w:rsid w:val="00047774"/>
    <w:rsid w:val="00050C92"/>
    <w:rsid w:val="00053F23"/>
    <w:rsid w:val="00054E68"/>
    <w:rsid w:val="00061E09"/>
    <w:rsid w:val="00064F0E"/>
    <w:rsid w:val="0006606B"/>
    <w:rsid w:val="00066945"/>
    <w:rsid w:val="00066DBD"/>
    <w:rsid w:val="000716EF"/>
    <w:rsid w:val="00072D33"/>
    <w:rsid w:val="00073E23"/>
    <w:rsid w:val="00076DC2"/>
    <w:rsid w:val="0008037A"/>
    <w:rsid w:val="00084151"/>
    <w:rsid w:val="00084FE9"/>
    <w:rsid w:val="000864C0"/>
    <w:rsid w:val="00087EF1"/>
    <w:rsid w:val="00090182"/>
    <w:rsid w:val="0009132E"/>
    <w:rsid w:val="000916A6"/>
    <w:rsid w:val="00091D13"/>
    <w:rsid w:val="000A1DD2"/>
    <w:rsid w:val="000A207B"/>
    <w:rsid w:val="000A2C04"/>
    <w:rsid w:val="000A3049"/>
    <w:rsid w:val="000A67B5"/>
    <w:rsid w:val="000B5D10"/>
    <w:rsid w:val="000C0459"/>
    <w:rsid w:val="000C511B"/>
    <w:rsid w:val="000C6752"/>
    <w:rsid w:val="000D1301"/>
    <w:rsid w:val="000D5FC4"/>
    <w:rsid w:val="000E1E59"/>
    <w:rsid w:val="000E326D"/>
    <w:rsid w:val="000E34F4"/>
    <w:rsid w:val="000E4957"/>
    <w:rsid w:val="000E64A9"/>
    <w:rsid w:val="000F1A9A"/>
    <w:rsid w:val="000F6531"/>
    <w:rsid w:val="001008A9"/>
    <w:rsid w:val="001012D8"/>
    <w:rsid w:val="0010153C"/>
    <w:rsid w:val="001044C7"/>
    <w:rsid w:val="001047B7"/>
    <w:rsid w:val="00104CBF"/>
    <w:rsid w:val="00104D6B"/>
    <w:rsid w:val="00106BCB"/>
    <w:rsid w:val="001072E7"/>
    <w:rsid w:val="0010741F"/>
    <w:rsid w:val="00114AA6"/>
    <w:rsid w:val="00116999"/>
    <w:rsid w:val="001211D0"/>
    <w:rsid w:val="00122BDB"/>
    <w:rsid w:val="00125C15"/>
    <w:rsid w:val="00126C81"/>
    <w:rsid w:val="00127E64"/>
    <w:rsid w:val="0013042E"/>
    <w:rsid w:val="00131BA3"/>
    <w:rsid w:val="001331A7"/>
    <w:rsid w:val="001368A9"/>
    <w:rsid w:val="0014159D"/>
    <w:rsid w:val="001532A7"/>
    <w:rsid w:val="001549A5"/>
    <w:rsid w:val="00154B44"/>
    <w:rsid w:val="00166002"/>
    <w:rsid w:val="00167ED9"/>
    <w:rsid w:val="001748D7"/>
    <w:rsid w:val="00174919"/>
    <w:rsid w:val="00175B61"/>
    <w:rsid w:val="00185CCA"/>
    <w:rsid w:val="00192AAC"/>
    <w:rsid w:val="001935D6"/>
    <w:rsid w:val="00194ABF"/>
    <w:rsid w:val="00195D9D"/>
    <w:rsid w:val="00197779"/>
    <w:rsid w:val="001977FB"/>
    <w:rsid w:val="001A2DEE"/>
    <w:rsid w:val="001A38F9"/>
    <w:rsid w:val="001A4214"/>
    <w:rsid w:val="001B09E4"/>
    <w:rsid w:val="001B11BC"/>
    <w:rsid w:val="001B2110"/>
    <w:rsid w:val="001B4918"/>
    <w:rsid w:val="001B6BC8"/>
    <w:rsid w:val="001C34AF"/>
    <w:rsid w:val="001C4917"/>
    <w:rsid w:val="001C6A46"/>
    <w:rsid w:val="001C749B"/>
    <w:rsid w:val="001C7942"/>
    <w:rsid w:val="001D0BD7"/>
    <w:rsid w:val="001D3626"/>
    <w:rsid w:val="001D4877"/>
    <w:rsid w:val="001D755E"/>
    <w:rsid w:val="001D78C8"/>
    <w:rsid w:val="001E4901"/>
    <w:rsid w:val="001E4ABF"/>
    <w:rsid w:val="001F1769"/>
    <w:rsid w:val="001F4FE3"/>
    <w:rsid w:val="001F5676"/>
    <w:rsid w:val="001F7CED"/>
    <w:rsid w:val="002079A5"/>
    <w:rsid w:val="00210E0C"/>
    <w:rsid w:val="002146EE"/>
    <w:rsid w:val="00220261"/>
    <w:rsid w:val="0022081B"/>
    <w:rsid w:val="00220A16"/>
    <w:rsid w:val="00221DDB"/>
    <w:rsid w:val="0022316A"/>
    <w:rsid w:val="002352F2"/>
    <w:rsid w:val="00252C81"/>
    <w:rsid w:val="00270250"/>
    <w:rsid w:val="00271FE4"/>
    <w:rsid w:val="00272FE9"/>
    <w:rsid w:val="002765F9"/>
    <w:rsid w:val="00280FF5"/>
    <w:rsid w:val="00281740"/>
    <w:rsid w:val="00281964"/>
    <w:rsid w:val="002851AE"/>
    <w:rsid w:val="00286E45"/>
    <w:rsid w:val="00286E9C"/>
    <w:rsid w:val="002906BE"/>
    <w:rsid w:val="002934BE"/>
    <w:rsid w:val="00294B37"/>
    <w:rsid w:val="002958FE"/>
    <w:rsid w:val="00297907"/>
    <w:rsid w:val="002A37DC"/>
    <w:rsid w:val="002A3C96"/>
    <w:rsid w:val="002A4453"/>
    <w:rsid w:val="002A609C"/>
    <w:rsid w:val="002A6ABB"/>
    <w:rsid w:val="002A7245"/>
    <w:rsid w:val="002B1901"/>
    <w:rsid w:val="002B59A2"/>
    <w:rsid w:val="002B71B5"/>
    <w:rsid w:val="002C0AA3"/>
    <w:rsid w:val="002C725F"/>
    <w:rsid w:val="002D3D36"/>
    <w:rsid w:val="002D5B5A"/>
    <w:rsid w:val="002D6704"/>
    <w:rsid w:val="002D6D00"/>
    <w:rsid w:val="002D7AC1"/>
    <w:rsid w:val="002E02E3"/>
    <w:rsid w:val="002E11CA"/>
    <w:rsid w:val="002E62C7"/>
    <w:rsid w:val="002F0157"/>
    <w:rsid w:val="002F0CD5"/>
    <w:rsid w:val="002F3439"/>
    <w:rsid w:val="002F55BB"/>
    <w:rsid w:val="0030223F"/>
    <w:rsid w:val="00307D4A"/>
    <w:rsid w:val="00311C5E"/>
    <w:rsid w:val="00317C4F"/>
    <w:rsid w:val="00321CDA"/>
    <w:rsid w:val="00324CA5"/>
    <w:rsid w:val="00327D27"/>
    <w:rsid w:val="00330987"/>
    <w:rsid w:val="00331430"/>
    <w:rsid w:val="003334D4"/>
    <w:rsid w:val="0033575A"/>
    <w:rsid w:val="0033660F"/>
    <w:rsid w:val="003421CE"/>
    <w:rsid w:val="0034565E"/>
    <w:rsid w:val="0034593C"/>
    <w:rsid w:val="00350DB9"/>
    <w:rsid w:val="003542F9"/>
    <w:rsid w:val="00355612"/>
    <w:rsid w:val="003618A6"/>
    <w:rsid w:val="00362BB6"/>
    <w:rsid w:val="00364392"/>
    <w:rsid w:val="00365410"/>
    <w:rsid w:val="0036556B"/>
    <w:rsid w:val="003662CD"/>
    <w:rsid w:val="00367C32"/>
    <w:rsid w:val="0037664E"/>
    <w:rsid w:val="003847B7"/>
    <w:rsid w:val="00387184"/>
    <w:rsid w:val="0038744A"/>
    <w:rsid w:val="00391F29"/>
    <w:rsid w:val="00393198"/>
    <w:rsid w:val="00393607"/>
    <w:rsid w:val="00394906"/>
    <w:rsid w:val="003A1685"/>
    <w:rsid w:val="003A2ACB"/>
    <w:rsid w:val="003B3EF4"/>
    <w:rsid w:val="003B4618"/>
    <w:rsid w:val="003B5D8D"/>
    <w:rsid w:val="003B7488"/>
    <w:rsid w:val="003C0556"/>
    <w:rsid w:val="003C21A4"/>
    <w:rsid w:val="003D758A"/>
    <w:rsid w:val="003E3D62"/>
    <w:rsid w:val="003E3DFD"/>
    <w:rsid w:val="003E6E15"/>
    <w:rsid w:val="003F2330"/>
    <w:rsid w:val="003F33B6"/>
    <w:rsid w:val="003F6321"/>
    <w:rsid w:val="004001F5"/>
    <w:rsid w:val="00401F05"/>
    <w:rsid w:val="0040699A"/>
    <w:rsid w:val="00410088"/>
    <w:rsid w:val="0041682A"/>
    <w:rsid w:val="00417DE6"/>
    <w:rsid w:val="00420824"/>
    <w:rsid w:val="0042503B"/>
    <w:rsid w:val="00426CD6"/>
    <w:rsid w:val="00430B28"/>
    <w:rsid w:val="004372D9"/>
    <w:rsid w:val="0044391F"/>
    <w:rsid w:val="00446F17"/>
    <w:rsid w:val="004517CF"/>
    <w:rsid w:val="00451CF1"/>
    <w:rsid w:val="0045236F"/>
    <w:rsid w:val="00462DAC"/>
    <w:rsid w:val="00471B77"/>
    <w:rsid w:val="004741D5"/>
    <w:rsid w:val="00474DCB"/>
    <w:rsid w:val="004751EE"/>
    <w:rsid w:val="004800FE"/>
    <w:rsid w:val="00483FC8"/>
    <w:rsid w:val="0048418A"/>
    <w:rsid w:val="00484403"/>
    <w:rsid w:val="004853AE"/>
    <w:rsid w:val="00485D98"/>
    <w:rsid w:val="00486629"/>
    <w:rsid w:val="00486829"/>
    <w:rsid w:val="00490253"/>
    <w:rsid w:val="004912EE"/>
    <w:rsid w:val="00494CDF"/>
    <w:rsid w:val="004A23A1"/>
    <w:rsid w:val="004A2C5F"/>
    <w:rsid w:val="004A592F"/>
    <w:rsid w:val="004B4CB5"/>
    <w:rsid w:val="004B505C"/>
    <w:rsid w:val="004C24F9"/>
    <w:rsid w:val="004D049C"/>
    <w:rsid w:val="004D1FBB"/>
    <w:rsid w:val="004D2029"/>
    <w:rsid w:val="004D2BA1"/>
    <w:rsid w:val="004D31D7"/>
    <w:rsid w:val="004D5C85"/>
    <w:rsid w:val="004E156C"/>
    <w:rsid w:val="004E3F8F"/>
    <w:rsid w:val="004E5830"/>
    <w:rsid w:val="004F0A08"/>
    <w:rsid w:val="004F3DA2"/>
    <w:rsid w:val="00516C64"/>
    <w:rsid w:val="00520023"/>
    <w:rsid w:val="00520E9A"/>
    <w:rsid w:val="00521C12"/>
    <w:rsid w:val="005260F4"/>
    <w:rsid w:val="00527509"/>
    <w:rsid w:val="00532418"/>
    <w:rsid w:val="005341F5"/>
    <w:rsid w:val="0053440D"/>
    <w:rsid w:val="00537B26"/>
    <w:rsid w:val="0054459E"/>
    <w:rsid w:val="0054798B"/>
    <w:rsid w:val="00551732"/>
    <w:rsid w:val="00552ED9"/>
    <w:rsid w:val="0056063D"/>
    <w:rsid w:val="005654D0"/>
    <w:rsid w:val="00565768"/>
    <w:rsid w:val="00566EDE"/>
    <w:rsid w:val="005707CF"/>
    <w:rsid w:val="00570AE1"/>
    <w:rsid w:val="00570D5E"/>
    <w:rsid w:val="00571314"/>
    <w:rsid w:val="005718AA"/>
    <w:rsid w:val="005722B7"/>
    <w:rsid w:val="00572CF1"/>
    <w:rsid w:val="00573408"/>
    <w:rsid w:val="005750E2"/>
    <w:rsid w:val="00584099"/>
    <w:rsid w:val="00584156"/>
    <w:rsid w:val="00586C5F"/>
    <w:rsid w:val="005871F4"/>
    <w:rsid w:val="0058730E"/>
    <w:rsid w:val="005928E3"/>
    <w:rsid w:val="00595B2F"/>
    <w:rsid w:val="005963C8"/>
    <w:rsid w:val="00596692"/>
    <w:rsid w:val="005A0954"/>
    <w:rsid w:val="005A29CC"/>
    <w:rsid w:val="005A5556"/>
    <w:rsid w:val="005A589B"/>
    <w:rsid w:val="005A58C0"/>
    <w:rsid w:val="005A69DB"/>
    <w:rsid w:val="005B3769"/>
    <w:rsid w:val="005B4455"/>
    <w:rsid w:val="005B4DAE"/>
    <w:rsid w:val="005B69B2"/>
    <w:rsid w:val="005C4D90"/>
    <w:rsid w:val="005C61F2"/>
    <w:rsid w:val="005C7B8B"/>
    <w:rsid w:val="005D09CE"/>
    <w:rsid w:val="005D3CB7"/>
    <w:rsid w:val="005D5693"/>
    <w:rsid w:val="005E185B"/>
    <w:rsid w:val="005E7D97"/>
    <w:rsid w:val="005F34D2"/>
    <w:rsid w:val="00600E07"/>
    <w:rsid w:val="0060345E"/>
    <w:rsid w:val="006062BD"/>
    <w:rsid w:val="00607161"/>
    <w:rsid w:val="00610352"/>
    <w:rsid w:val="006103F3"/>
    <w:rsid w:val="006121EB"/>
    <w:rsid w:val="00613BE5"/>
    <w:rsid w:val="006173FF"/>
    <w:rsid w:val="00617517"/>
    <w:rsid w:val="00617AA6"/>
    <w:rsid w:val="00620A65"/>
    <w:rsid w:val="0062535B"/>
    <w:rsid w:val="006262F1"/>
    <w:rsid w:val="00631F85"/>
    <w:rsid w:val="006342F4"/>
    <w:rsid w:val="006409CE"/>
    <w:rsid w:val="00640D44"/>
    <w:rsid w:val="00643CCD"/>
    <w:rsid w:val="006517CC"/>
    <w:rsid w:val="00655C03"/>
    <w:rsid w:val="00657007"/>
    <w:rsid w:val="00661551"/>
    <w:rsid w:val="0066575F"/>
    <w:rsid w:val="00667F19"/>
    <w:rsid w:val="0067526C"/>
    <w:rsid w:val="00675EFD"/>
    <w:rsid w:val="00677F47"/>
    <w:rsid w:val="00685FFB"/>
    <w:rsid w:val="006865EC"/>
    <w:rsid w:val="006879D8"/>
    <w:rsid w:val="006907F1"/>
    <w:rsid w:val="006916D1"/>
    <w:rsid w:val="006937B2"/>
    <w:rsid w:val="0069516F"/>
    <w:rsid w:val="006A08DC"/>
    <w:rsid w:val="006A0A8F"/>
    <w:rsid w:val="006A0D15"/>
    <w:rsid w:val="006A2535"/>
    <w:rsid w:val="006A69CC"/>
    <w:rsid w:val="006A6D9B"/>
    <w:rsid w:val="006A7576"/>
    <w:rsid w:val="006B202E"/>
    <w:rsid w:val="006B6643"/>
    <w:rsid w:val="006C2544"/>
    <w:rsid w:val="006D68AD"/>
    <w:rsid w:val="006E252B"/>
    <w:rsid w:val="006E28BC"/>
    <w:rsid w:val="006E28D1"/>
    <w:rsid w:val="006E62DB"/>
    <w:rsid w:val="006E6D0E"/>
    <w:rsid w:val="006F0245"/>
    <w:rsid w:val="006F04A6"/>
    <w:rsid w:val="006F0D07"/>
    <w:rsid w:val="006F1105"/>
    <w:rsid w:val="006F11DC"/>
    <w:rsid w:val="006F2D56"/>
    <w:rsid w:val="006F3771"/>
    <w:rsid w:val="006F3D91"/>
    <w:rsid w:val="006F4717"/>
    <w:rsid w:val="006F47AF"/>
    <w:rsid w:val="00710670"/>
    <w:rsid w:val="00710E44"/>
    <w:rsid w:val="0071465B"/>
    <w:rsid w:val="00716AB6"/>
    <w:rsid w:val="00717F7F"/>
    <w:rsid w:val="007227A5"/>
    <w:rsid w:val="00725050"/>
    <w:rsid w:val="00725A73"/>
    <w:rsid w:val="00726DBB"/>
    <w:rsid w:val="007314AC"/>
    <w:rsid w:val="007356E1"/>
    <w:rsid w:val="00745B93"/>
    <w:rsid w:val="00746083"/>
    <w:rsid w:val="00752CAA"/>
    <w:rsid w:val="0075566D"/>
    <w:rsid w:val="00763C00"/>
    <w:rsid w:val="007654E3"/>
    <w:rsid w:val="0076589B"/>
    <w:rsid w:val="00766896"/>
    <w:rsid w:val="00767931"/>
    <w:rsid w:val="0076793A"/>
    <w:rsid w:val="007708CD"/>
    <w:rsid w:val="00774962"/>
    <w:rsid w:val="00775849"/>
    <w:rsid w:val="00775942"/>
    <w:rsid w:val="00776300"/>
    <w:rsid w:val="00776B8B"/>
    <w:rsid w:val="00785711"/>
    <w:rsid w:val="00785797"/>
    <w:rsid w:val="00786C03"/>
    <w:rsid w:val="00787734"/>
    <w:rsid w:val="00790DBC"/>
    <w:rsid w:val="00793662"/>
    <w:rsid w:val="007955E4"/>
    <w:rsid w:val="00796B6F"/>
    <w:rsid w:val="007A4318"/>
    <w:rsid w:val="007A51F5"/>
    <w:rsid w:val="007A6A12"/>
    <w:rsid w:val="007A7357"/>
    <w:rsid w:val="007B3D0D"/>
    <w:rsid w:val="007B62D2"/>
    <w:rsid w:val="007B6443"/>
    <w:rsid w:val="007C5128"/>
    <w:rsid w:val="007D43F1"/>
    <w:rsid w:val="007D46C0"/>
    <w:rsid w:val="007D59FE"/>
    <w:rsid w:val="007D7583"/>
    <w:rsid w:val="007E200F"/>
    <w:rsid w:val="007E3DBF"/>
    <w:rsid w:val="007E5C63"/>
    <w:rsid w:val="007E5C6A"/>
    <w:rsid w:val="007E7ACE"/>
    <w:rsid w:val="007F5505"/>
    <w:rsid w:val="007F7C63"/>
    <w:rsid w:val="008002F1"/>
    <w:rsid w:val="00800756"/>
    <w:rsid w:val="00800D83"/>
    <w:rsid w:val="00803039"/>
    <w:rsid w:val="00804BF0"/>
    <w:rsid w:val="00804E36"/>
    <w:rsid w:val="00804F25"/>
    <w:rsid w:val="0080549C"/>
    <w:rsid w:val="00811C4B"/>
    <w:rsid w:val="008123E4"/>
    <w:rsid w:val="00813D6F"/>
    <w:rsid w:val="00815F41"/>
    <w:rsid w:val="00822353"/>
    <w:rsid w:val="00830FDC"/>
    <w:rsid w:val="008316F1"/>
    <w:rsid w:val="008319F7"/>
    <w:rsid w:val="00832F34"/>
    <w:rsid w:val="0083382E"/>
    <w:rsid w:val="00833FA9"/>
    <w:rsid w:val="008414B1"/>
    <w:rsid w:val="00843DD6"/>
    <w:rsid w:val="00844085"/>
    <w:rsid w:val="00844EEF"/>
    <w:rsid w:val="008478DD"/>
    <w:rsid w:val="0085033D"/>
    <w:rsid w:val="00853B01"/>
    <w:rsid w:val="00853DA7"/>
    <w:rsid w:val="00854D6A"/>
    <w:rsid w:val="008555E3"/>
    <w:rsid w:val="008642FC"/>
    <w:rsid w:val="00865C7A"/>
    <w:rsid w:val="0087015E"/>
    <w:rsid w:val="0087145B"/>
    <w:rsid w:val="00871AA6"/>
    <w:rsid w:val="00872D23"/>
    <w:rsid w:val="0087301C"/>
    <w:rsid w:val="00875148"/>
    <w:rsid w:val="0087518B"/>
    <w:rsid w:val="00876678"/>
    <w:rsid w:val="00876D86"/>
    <w:rsid w:val="00880FB5"/>
    <w:rsid w:val="0088203A"/>
    <w:rsid w:val="00884FF8"/>
    <w:rsid w:val="00887266"/>
    <w:rsid w:val="008900FC"/>
    <w:rsid w:val="008917C0"/>
    <w:rsid w:val="00893784"/>
    <w:rsid w:val="00893A07"/>
    <w:rsid w:val="008961F3"/>
    <w:rsid w:val="008A1325"/>
    <w:rsid w:val="008A5713"/>
    <w:rsid w:val="008A7B36"/>
    <w:rsid w:val="008B29CB"/>
    <w:rsid w:val="008B3959"/>
    <w:rsid w:val="008B4056"/>
    <w:rsid w:val="008B602E"/>
    <w:rsid w:val="008B761A"/>
    <w:rsid w:val="008C3654"/>
    <w:rsid w:val="008C4D71"/>
    <w:rsid w:val="008C56FB"/>
    <w:rsid w:val="008C6194"/>
    <w:rsid w:val="008C69AC"/>
    <w:rsid w:val="008D5945"/>
    <w:rsid w:val="008D5A2A"/>
    <w:rsid w:val="008E0F9D"/>
    <w:rsid w:val="008E10FE"/>
    <w:rsid w:val="008E28C2"/>
    <w:rsid w:val="008E2DE8"/>
    <w:rsid w:val="008E761A"/>
    <w:rsid w:val="008F18F0"/>
    <w:rsid w:val="008F40C1"/>
    <w:rsid w:val="00901EFD"/>
    <w:rsid w:val="00913279"/>
    <w:rsid w:val="00917786"/>
    <w:rsid w:val="00923892"/>
    <w:rsid w:val="00923DAC"/>
    <w:rsid w:val="00924BA0"/>
    <w:rsid w:val="00925E37"/>
    <w:rsid w:val="00925E8A"/>
    <w:rsid w:val="00926801"/>
    <w:rsid w:val="00931A92"/>
    <w:rsid w:val="00931D76"/>
    <w:rsid w:val="00933BA6"/>
    <w:rsid w:val="009349D7"/>
    <w:rsid w:val="0093634C"/>
    <w:rsid w:val="00940DA4"/>
    <w:rsid w:val="009450CA"/>
    <w:rsid w:val="0094681A"/>
    <w:rsid w:val="00947551"/>
    <w:rsid w:val="009500CA"/>
    <w:rsid w:val="00950D47"/>
    <w:rsid w:val="00953FFD"/>
    <w:rsid w:val="00957F8F"/>
    <w:rsid w:val="00962AB0"/>
    <w:rsid w:val="009632C3"/>
    <w:rsid w:val="009636F1"/>
    <w:rsid w:val="009638B2"/>
    <w:rsid w:val="009641CA"/>
    <w:rsid w:val="00965CE7"/>
    <w:rsid w:val="00965D0A"/>
    <w:rsid w:val="00966DFA"/>
    <w:rsid w:val="009708D8"/>
    <w:rsid w:val="009709BE"/>
    <w:rsid w:val="00971EFC"/>
    <w:rsid w:val="00972802"/>
    <w:rsid w:val="00972C0C"/>
    <w:rsid w:val="009749D2"/>
    <w:rsid w:val="00977228"/>
    <w:rsid w:val="00980DD3"/>
    <w:rsid w:val="009835F8"/>
    <w:rsid w:val="00984488"/>
    <w:rsid w:val="00987CA7"/>
    <w:rsid w:val="00990FBB"/>
    <w:rsid w:val="009952FC"/>
    <w:rsid w:val="00997FD4"/>
    <w:rsid w:val="009A209E"/>
    <w:rsid w:val="009A21D0"/>
    <w:rsid w:val="009A23AE"/>
    <w:rsid w:val="009A52B8"/>
    <w:rsid w:val="009A7265"/>
    <w:rsid w:val="009A7604"/>
    <w:rsid w:val="009B156E"/>
    <w:rsid w:val="009B2CD1"/>
    <w:rsid w:val="009B4B94"/>
    <w:rsid w:val="009B5A61"/>
    <w:rsid w:val="009C0154"/>
    <w:rsid w:val="009C1419"/>
    <w:rsid w:val="009C6D60"/>
    <w:rsid w:val="009C787A"/>
    <w:rsid w:val="009C7A48"/>
    <w:rsid w:val="009D2803"/>
    <w:rsid w:val="009D3887"/>
    <w:rsid w:val="009D5510"/>
    <w:rsid w:val="009D5698"/>
    <w:rsid w:val="009D5E97"/>
    <w:rsid w:val="009D73DB"/>
    <w:rsid w:val="009E2402"/>
    <w:rsid w:val="009E51CB"/>
    <w:rsid w:val="009E55AE"/>
    <w:rsid w:val="009E5F6A"/>
    <w:rsid w:val="009E602F"/>
    <w:rsid w:val="009E67D1"/>
    <w:rsid w:val="009E7D2E"/>
    <w:rsid w:val="009F010D"/>
    <w:rsid w:val="009F1752"/>
    <w:rsid w:val="009F5E7C"/>
    <w:rsid w:val="009F7A05"/>
    <w:rsid w:val="00A00C2E"/>
    <w:rsid w:val="00A0244D"/>
    <w:rsid w:val="00A04AC6"/>
    <w:rsid w:val="00A073E1"/>
    <w:rsid w:val="00A1048E"/>
    <w:rsid w:val="00A11102"/>
    <w:rsid w:val="00A1351D"/>
    <w:rsid w:val="00A21D95"/>
    <w:rsid w:val="00A22261"/>
    <w:rsid w:val="00A22B8F"/>
    <w:rsid w:val="00A231D4"/>
    <w:rsid w:val="00A2583B"/>
    <w:rsid w:val="00A26248"/>
    <w:rsid w:val="00A34540"/>
    <w:rsid w:val="00A40CF1"/>
    <w:rsid w:val="00A445D6"/>
    <w:rsid w:val="00A4768A"/>
    <w:rsid w:val="00A517E2"/>
    <w:rsid w:val="00A51972"/>
    <w:rsid w:val="00A56E5F"/>
    <w:rsid w:val="00A61B88"/>
    <w:rsid w:val="00A63662"/>
    <w:rsid w:val="00A645F4"/>
    <w:rsid w:val="00A667D5"/>
    <w:rsid w:val="00A700A8"/>
    <w:rsid w:val="00A71C13"/>
    <w:rsid w:val="00A73425"/>
    <w:rsid w:val="00A73DB6"/>
    <w:rsid w:val="00A81DCE"/>
    <w:rsid w:val="00A84087"/>
    <w:rsid w:val="00A87C2D"/>
    <w:rsid w:val="00A9458F"/>
    <w:rsid w:val="00A95031"/>
    <w:rsid w:val="00A96C53"/>
    <w:rsid w:val="00A9737B"/>
    <w:rsid w:val="00AA07B9"/>
    <w:rsid w:val="00AA2F7E"/>
    <w:rsid w:val="00AA6A03"/>
    <w:rsid w:val="00AA74D5"/>
    <w:rsid w:val="00AA7B34"/>
    <w:rsid w:val="00AB33FA"/>
    <w:rsid w:val="00AC0AE3"/>
    <w:rsid w:val="00AC0BE9"/>
    <w:rsid w:val="00AC1C24"/>
    <w:rsid w:val="00AC204A"/>
    <w:rsid w:val="00AC221A"/>
    <w:rsid w:val="00AC2F9F"/>
    <w:rsid w:val="00AC3D12"/>
    <w:rsid w:val="00AC7CED"/>
    <w:rsid w:val="00AD15A6"/>
    <w:rsid w:val="00AD3E37"/>
    <w:rsid w:val="00AD468E"/>
    <w:rsid w:val="00AE062F"/>
    <w:rsid w:val="00AE0A68"/>
    <w:rsid w:val="00AE0F52"/>
    <w:rsid w:val="00AE3283"/>
    <w:rsid w:val="00AE4887"/>
    <w:rsid w:val="00AE6E26"/>
    <w:rsid w:val="00AE7841"/>
    <w:rsid w:val="00AE7FAB"/>
    <w:rsid w:val="00AF15D6"/>
    <w:rsid w:val="00AF5F1B"/>
    <w:rsid w:val="00AF7118"/>
    <w:rsid w:val="00B1010E"/>
    <w:rsid w:val="00B11F4A"/>
    <w:rsid w:val="00B24841"/>
    <w:rsid w:val="00B3074E"/>
    <w:rsid w:val="00B3408D"/>
    <w:rsid w:val="00B34781"/>
    <w:rsid w:val="00B352B0"/>
    <w:rsid w:val="00B3607E"/>
    <w:rsid w:val="00B55DFC"/>
    <w:rsid w:val="00B6173D"/>
    <w:rsid w:val="00B72BDD"/>
    <w:rsid w:val="00B75420"/>
    <w:rsid w:val="00B75D1C"/>
    <w:rsid w:val="00B76CE9"/>
    <w:rsid w:val="00B7711E"/>
    <w:rsid w:val="00B774D9"/>
    <w:rsid w:val="00B87157"/>
    <w:rsid w:val="00B92E0A"/>
    <w:rsid w:val="00B93940"/>
    <w:rsid w:val="00B97DE3"/>
    <w:rsid w:val="00BA0C8B"/>
    <w:rsid w:val="00BB14AC"/>
    <w:rsid w:val="00BB488A"/>
    <w:rsid w:val="00BC0F33"/>
    <w:rsid w:val="00BC1510"/>
    <w:rsid w:val="00BC2759"/>
    <w:rsid w:val="00BC2F3C"/>
    <w:rsid w:val="00BC481E"/>
    <w:rsid w:val="00BC4B12"/>
    <w:rsid w:val="00BC7270"/>
    <w:rsid w:val="00BD3BD7"/>
    <w:rsid w:val="00BE54B7"/>
    <w:rsid w:val="00BE5ED7"/>
    <w:rsid w:val="00BF2329"/>
    <w:rsid w:val="00BF2C35"/>
    <w:rsid w:val="00BF5FCE"/>
    <w:rsid w:val="00C01841"/>
    <w:rsid w:val="00C035AC"/>
    <w:rsid w:val="00C111DB"/>
    <w:rsid w:val="00C15569"/>
    <w:rsid w:val="00C156BE"/>
    <w:rsid w:val="00C15A53"/>
    <w:rsid w:val="00C16C37"/>
    <w:rsid w:val="00C17325"/>
    <w:rsid w:val="00C22D2E"/>
    <w:rsid w:val="00C2307F"/>
    <w:rsid w:val="00C27DEB"/>
    <w:rsid w:val="00C3044C"/>
    <w:rsid w:val="00C319D8"/>
    <w:rsid w:val="00C320A3"/>
    <w:rsid w:val="00C32C14"/>
    <w:rsid w:val="00C32FC3"/>
    <w:rsid w:val="00C34C94"/>
    <w:rsid w:val="00C3697C"/>
    <w:rsid w:val="00C4110E"/>
    <w:rsid w:val="00C514EF"/>
    <w:rsid w:val="00C5326C"/>
    <w:rsid w:val="00C54A3A"/>
    <w:rsid w:val="00C57B5B"/>
    <w:rsid w:val="00C60085"/>
    <w:rsid w:val="00C63F00"/>
    <w:rsid w:val="00C66431"/>
    <w:rsid w:val="00C755E8"/>
    <w:rsid w:val="00C75E74"/>
    <w:rsid w:val="00C8176B"/>
    <w:rsid w:val="00C82E27"/>
    <w:rsid w:val="00C8477D"/>
    <w:rsid w:val="00C85A23"/>
    <w:rsid w:val="00C92EDF"/>
    <w:rsid w:val="00C936FB"/>
    <w:rsid w:val="00C95A16"/>
    <w:rsid w:val="00C9789F"/>
    <w:rsid w:val="00CA1968"/>
    <w:rsid w:val="00CA3430"/>
    <w:rsid w:val="00CB05BC"/>
    <w:rsid w:val="00CB182B"/>
    <w:rsid w:val="00CC1A32"/>
    <w:rsid w:val="00CC20A7"/>
    <w:rsid w:val="00CC5B63"/>
    <w:rsid w:val="00CD294B"/>
    <w:rsid w:val="00CD3326"/>
    <w:rsid w:val="00CD7114"/>
    <w:rsid w:val="00CD73E7"/>
    <w:rsid w:val="00CE04FD"/>
    <w:rsid w:val="00CE1301"/>
    <w:rsid w:val="00CE4AB1"/>
    <w:rsid w:val="00CE65E7"/>
    <w:rsid w:val="00CE6E0E"/>
    <w:rsid w:val="00CF023A"/>
    <w:rsid w:val="00CF11FC"/>
    <w:rsid w:val="00CF2F76"/>
    <w:rsid w:val="00CF3C07"/>
    <w:rsid w:val="00CF4714"/>
    <w:rsid w:val="00CF4FDF"/>
    <w:rsid w:val="00D004A3"/>
    <w:rsid w:val="00D00D0B"/>
    <w:rsid w:val="00D01494"/>
    <w:rsid w:val="00D02306"/>
    <w:rsid w:val="00D03A6B"/>
    <w:rsid w:val="00D0557B"/>
    <w:rsid w:val="00D05A55"/>
    <w:rsid w:val="00D11BED"/>
    <w:rsid w:val="00D142CD"/>
    <w:rsid w:val="00D20F91"/>
    <w:rsid w:val="00D25F24"/>
    <w:rsid w:val="00D2662B"/>
    <w:rsid w:val="00D35307"/>
    <w:rsid w:val="00D374EB"/>
    <w:rsid w:val="00D44091"/>
    <w:rsid w:val="00D4631D"/>
    <w:rsid w:val="00D47038"/>
    <w:rsid w:val="00D55C43"/>
    <w:rsid w:val="00D56AFA"/>
    <w:rsid w:val="00D60DD0"/>
    <w:rsid w:val="00D625BB"/>
    <w:rsid w:val="00D653F8"/>
    <w:rsid w:val="00D707D4"/>
    <w:rsid w:val="00D72A3B"/>
    <w:rsid w:val="00D731BC"/>
    <w:rsid w:val="00D77452"/>
    <w:rsid w:val="00D77952"/>
    <w:rsid w:val="00D77E62"/>
    <w:rsid w:val="00D81D6B"/>
    <w:rsid w:val="00D8223A"/>
    <w:rsid w:val="00D8552B"/>
    <w:rsid w:val="00D8675A"/>
    <w:rsid w:val="00D9070D"/>
    <w:rsid w:val="00D91FD1"/>
    <w:rsid w:val="00D955A0"/>
    <w:rsid w:val="00D96177"/>
    <w:rsid w:val="00D97679"/>
    <w:rsid w:val="00D97B57"/>
    <w:rsid w:val="00DA724B"/>
    <w:rsid w:val="00DB0EA4"/>
    <w:rsid w:val="00DB374A"/>
    <w:rsid w:val="00DB45A7"/>
    <w:rsid w:val="00DB6AEB"/>
    <w:rsid w:val="00DC16C5"/>
    <w:rsid w:val="00DC4957"/>
    <w:rsid w:val="00DC7164"/>
    <w:rsid w:val="00DC7951"/>
    <w:rsid w:val="00DD0889"/>
    <w:rsid w:val="00DD2D48"/>
    <w:rsid w:val="00DD3190"/>
    <w:rsid w:val="00DD7E7C"/>
    <w:rsid w:val="00DE0268"/>
    <w:rsid w:val="00DE05A6"/>
    <w:rsid w:val="00DE34C9"/>
    <w:rsid w:val="00DE369D"/>
    <w:rsid w:val="00DE6A0F"/>
    <w:rsid w:val="00DF1C2B"/>
    <w:rsid w:val="00DF7949"/>
    <w:rsid w:val="00E00401"/>
    <w:rsid w:val="00E02039"/>
    <w:rsid w:val="00E0425D"/>
    <w:rsid w:val="00E07E71"/>
    <w:rsid w:val="00E11730"/>
    <w:rsid w:val="00E11F05"/>
    <w:rsid w:val="00E121EB"/>
    <w:rsid w:val="00E15269"/>
    <w:rsid w:val="00E20835"/>
    <w:rsid w:val="00E25811"/>
    <w:rsid w:val="00E266B9"/>
    <w:rsid w:val="00E30C34"/>
    <w:rsid w:val="00E31356"/>
    <w:rsid w:val="00E32F66"/>
    <w:rsid w:val="00E33B55"/>
    <w:rsid w:val="00E36661"/>
    <w:rsid w:val="00E403AD"/>
    <w:rsid w:val="00E41ADF"/>
    <w:rsid w:val="00E43EA7"/>
    <w:rsid w:val="00E457CB"/>
    <w:rsid w:val="00E45CDB"/>
    <w:rsid w:val="00E45D42"/>
    <w:rsid w:val="00E5199A"/>
    <w:rsid w:val="00E561F4"/>
    <w:rsid w:val="00E65694"/>
    <w:rsid w:val="00E65719"/>
    <w:rsid w:val="00E700D0"/>
    <w:rsid w:val="00E737A3"/>
    <w:rsid w:val="00E74151"/>
    <w:rsid w:val="00E75CAE"/>
    <w:rsid w:val="00E76D1B"/>
    <w:rsid w:val="00E76E43"/>
    <w:rsid w:val="00E81A48"/>
    <w:rsid w:val="00E84F2A"/>
    <w:rsid w:val="00E867F6"/>
    <w:rsid w:val="00E87997"/>
    <w:rsid w:val="00EA13C7"/>
    <w:rsid w:val="00EA7240"/>
    <w:rsid w:val="00EB189E"/>
    <w:rsid w:val="00EB1DBE"/>
    <w:rsid w:val="00EB6C4C"/>
    <w:rsid w:val="00EC1460"/>
    <w:rsid w:val="00EC2C59"/>
    <w:rsid w:val="00EC3DA2"/>
    <w:rsid w:val="00ED0C1B"/>
    <w:rsid w:val="00ED2A22"/>
    <w:rsid w:val="00ED35EF"/>
    <w:rsid w:val="00ED3A23"/>
    <w:rsid w:val="00ED5897"/>
    <w:rsid w:val="00EE1A8B"/>
    <w:rsid w:val="00EE26FC"/>
    <w:rsid w:val="00EE2E8A"/>
    <w:rsid w:val="00EE5170"/>
    <w:rsid w:val="00EE6549"/>
    <w:rsid w:val="00EE7A52"/>
    <w:rsid w:val="00EF0430"/>
    <w:rsid w:val="00EF246E"/>
    <w:rsid w:val="00EF3CC2"/>
    <w:rsid w:val="00F00068"/>
    <w:rsid w:val="00F01C48"/>
    <w:rsid w:val="00F07079"/>
    <w:rsid w:val="00F11E5B"/>
    <w:rsid w:val="00F162D4"/>
    <w:rsid w:val="00F17098"/>
    <w:rsid w:val="00F22DEE"/>
    <w:rsid w:val="00F26093"/>
    <w:rsid w:val="00F264F6"/>
    <w:rsid w:val="00F27047"/>
    <w:rsid w:val="00F327B4"/>
    <w:rsid w:val="00F36DB2"/>
    <w:rsid w:val="00F42B2B"/>
    <w:rsid w:val="00F42D57"/>
    <w:rsid w:val="00F43A62"/>
    <w:rsid w:val="00F43FE0"/>
    <w:rsid w:val="00F46234"/>
    <w:rsid w:val="00F47FF7"/>
    <w:rsid w:val="00F5417F"/>
    <w:rsid w:val="00F550AC"/>
    <w:rsid w:val="00F61A73"/>
    <w:rsid w:val="00F64417"/>
    <w:rsid w:val="00F64F15"/>
    <w:rsid w:val="00F65BDC"/>
    <w:rsid w:val="00F67CEC"/>
    <w:rsid w:val="00F726C7"/>
    <w:rsid w:val="00F72A11"/>
    <w:rsid w:val="00F75236"/>
    <w:rsid w:val="00F77FAC"/>
    <w:rsid w:val="00F8004D"/>
    <w:rsid w:val="00F8066B"/>
    <w:rsid w:val="00F87583"/>
    <w:rsid w:val="00F96DD8"/>
    <w:rsid w:val="00F97BA0"/>
    <w:rsid w:val="00FA0113"/>
    <w:rsid w:val="00FA140B"/>
    <w:rsid w:val="00FA4E0E"/>
    <w:rsid w:val="00FA70EE"/>
    <w:rsid w:val="00FA7C1B"/>
    <w:rsid w:val="00FB5232"/>
    <w:rsid w:val="00FB6322"/>
    <w:rsid w:val="00FC0362"/>
    <w:rsid w:val="00FC63B2"/>
    <w:rsid w:val="00FD2BC2"/>
    <w:rsid w:val="00FD673A"/>
    <w:rsid w:val="00FE776C"/>
    <w:rsid w:val="00FF3429"/>
    <w:rsid w:val="00FF3CBA"/>
    <w:rsid w:val="00FF407B"/>
    <w:rsid w:val="00FF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321D"/>
  <w15:docId w15:val="{166CFDE2-DCB1-4FF2-81D3-F327CDCC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09"/>
    <w:rPr>
      <w:rFonts w:ascii="Calibri" w:eastAsia="Calibri" w:hAnsi="Calibri" w:cs="Times New Roman"/>
      <w:lang w:val="uk-UA"/>
    </w:rPr>
  </w:style>
  <w:style w:type="paragraph" w:styleId="Nagwek1">
    <w:name w:val="heading 1"/>
    <w:basedOn w:val="Normalny"/>
    <w:link w:val="Nagwek1Znak"/>
    <w:uiPriority w:val="9"/>
    <w:qFormat/>
    <w:rsid w:val="00A73425"/>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Nagwek3">
    <w:name w:val="heading 3"/>
    <w:basedOn w:val="Normalny"/>
    <w:next w:val="Normalny"/>
    <w:link w:val="Nagwek3Znak"/>
    <w:uiPriority w:val="9"/>
    <w:semiHidden/>
    <w:unhideWhenUsed/>
    <w:qFormat/>
    <w:rsid w:val="00CD71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A73425"/>
    <w:pPr>
      <w:spacing w:before="100" w:beforeAutospacing="1" w:after="100" w:afterAutospacing="1" w:line="240" w:lineRule="auto"/>
      <w:outlineLvl w:val="3"/>
    </w:pPr>
    <w:rPr>
      <w:rFonts w:ascii="Times New Roman" w:eastAsia="Times New Roman" w:hAnsi="Times New Roman"/>
      <w:b/>
      <w:bCs/>
      <w:sz w:val="24"/>
      <w:szCs w:val="24"/>
      <w:lang w:eastAsia="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3425"/>
    <w:rPr>
      <w:rFonts w:ascii="Times New Roman" w:eastAsia="Times New Roman" w:hAnsi="Times New Roman" w:cs="Times New Roman"/>
      <w:b/>
      <w:bCs/>
      <w:kern w:val="36"/>
      <w:sz w:val="48"/>
      <w:szCs w:val="48"/>
      <w:lang w:val="uk-UA" w:eastAsia="uk-UA"/>
    </w:rPr>
  </w:style>
  <w:style w:type="character" w:customStyle="1" w:styleId="Nagwek4Znak">
    <w:name w:val="Nagłówek 4 Znak"/>
    <w:basedOn w:val="Domylnaczcionkaakapitu"/>
    <w:link w:val="Nagwek4"/>
    <w:uiPriority w:val="9"/>
    <w:rsid w:val="00A73425"/>
    <w:rPr>
      <w:rFonts w:ascii="Times New Roman" w:eastAsia="Times New Roman" w:hAnsi="Times New Roman" w:cs="Times New Roman"/>
      <w:b/>
      <w:bCs/>
      <w:sz w:val="24"/>
      <w:szCs w:val="24"/>
      <w:lang w:eastAsia="uk-UA"/>
    </w:rPr>
  </w:style>
  <w:style w:type="table" w:styleId="Tabela-Siatka">
    <w:name w:val="Table Grid"/>
    <w:basedOn w:val="Standardowy"/>
    <w:uiPriority w:val="59"/>
    <w:rsid w:val="00A734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73425"/>
    <w:pPr>
      <w:ind w:left="720"/>
      <w:contextualSpacing/>
    </w:pPr>
  </w:style>
  <w:style w:type="paragraph" w:styleId="NormalnyWeb">
    <w:name w:val="Normal (Web)"/>
    <w:basedOn w:val="Normalny"/>
    <w:uiPriority w:val="99"/>
    <w:unhideWhenUsed/>
    <w:rsid w:val="00A73425"/>
    <w:pPr>
      <w:spacing w:before="100" w:beforeAutospacing="1" w:after="100" w:afterAutospacing="1" w:line="240" w:lineRule="auto"/>
    </w:pPr>
    <w:rPr>
      <w:rFonts w:ascii="Times New Roman" w:eastAsia="Times New Roman" w:hAnsi="Times New Roman"/>
      <w:sz w:val="24"/>
      <w:szCs w:val="24"/>
      <w:lang w:eastAsia="uk-UA"/>
    </w:rPr>
  </w:style>
  <w:style w:type="character" w:styleId="Hipercze">
    <w:name w:val="Hyperlink"/>
    <w:uiPriority w:val="99"/>
    <w:unhideWhenUsed/>
    <w:rsid w:val="00A73425"/>
    <w:rPr>
      <w:color w:val="0000FF"/>
      <w:u w:val="single"/>
    </w:rPr>
  </w:style>
  <w:style w:type="character" w:styleId="Odwoaniedokomentarza">
    <w:name w:val="annotation reference"/>
    <w:uiPriority w:val="99"/>
    <w:semiHidden/>
    <w:unhideWhenUsed/>
    <w:rsid w:val="00A73425"/>
    <w:rPr>
      <w:sz w:val="16"/>
      <w:szCs w:val="16"/>
    </w:rPr>
  </w:style>
  <w:style w:type="paragraph" w:styleId="Tekstkomentarza">
    <w:name w:val="annotation text"/>
    <w:basedOn w:val="Normalny"/>
    <w:link w:val="TekstkomentarzaZnak"/>
    <w:uiPriority w:val="99"/>
    <w:unhideWhenUsed/>
    <w:rsid w:val="00A73425"/>
    <w:rPr>
      <w:sz w:val="20"/>
      <w:szCs w:val="20"/>
    </w:rPr>
  </w:style>
  <w:style w:type="character" w:customStyle="1" w:styleId="TekstkomentarzaZnak">
    <w:name w:val="Tekst komentarza Znak"/>
    <w:basedOn w:val="Domylnaczcionkaakapitu"/>
    <w:link w:val="Tekstkomentarza"/>
    <w:uiPriority w:val="99"/>
    <w:rsid w:val="00A73425"/>
    <w:rPr>
      <w:rFonts w:ascii="Calibri" w:eastAsia="Calibri" w:hAnsi="Calibri" w:cs="Times New Roman"/>
      <w:sz w:val="20"/>
      <w:szCs w:val="20"/>
    </w:rPr>
  </w:style>
  <w:style w:type="paragraph" w:customStyle="1" w:styleId="Default">
    <w:name w:val="Default"/>
    <w:rsid w:val="00A7342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styleId="HTML-wstpniesformatowany">
    <w:name w:val="HTML Preformatted"/>
    <w:basedOn w:val="Normalny"/>
    <w:link w:val="HTML-wstpniesformatowanyZnak"/>
    <w:uiPriority w:val="99"/>
    <w:semiHidden/>
    <w:unhideWhenUsed/>
    <w:rsid w:val="00A73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wstpniesformatowanyZnak">
    <w:name w:val="HTML - wstępnie sformatowany Znak"/>
    <w:basedOn w:val="Domylnaczcionkaakapitu"/>
    <w:link w:val="HTML-wstpniesformatowany"/>
    <w:uiPriority w:val="99"/>
    <w:semiHidden/>
    <w:rsid w:val="00A73425"/>
    <w:rPr>
      <w:rFonts w:ascii="Courier New" w:eastAsia="Times New Roman" w:hAnsi="Courier New" w:cs="Courier New"/>
      <w:sz w:val="20"/>
      <w:szCs w:val="20"/>
      <w:lang w:eastAsia="ru-RU"/>
    </w:rPr>
  </w:style>
  <w:style w:type="paragraph" w:customStyle="1" w:styleId="1">
    <w:name w:val="Обычный1"/>
    <w:rsid w:val="00A73425"/>
    <w:rPr>
      <w:rFonts w:ascii="Calibri" w:eastAsia="Calibri" w:hAnsi="Calibri" w:cs="Calibri"/>
      <w:lang w:val="uk-UA" w:eastAsia="ru-RU"/>
    </w:rPr>
  </w:style>
  <w:style w:type="paragraph" w:styleId="Tekstdymka">
    <w:name w:val="Balloon Text"/>
    <w:basedOn w:val="Normalny"/>
    <w:link w:val="TekstdymkaZnak"/>
    <w:uiPriority w:val="99"/>
    <w:semiHidden/>
    <w:unhideWhenUsed/>
    <w:rsid w:val="00A734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3425"/>
    <w:rPr>
      <w:rFonts w:ascii="Tahoma" w:eastAsia="Calibri" w:hAnsi="Tahoma" w:cs="Tahoma"/>
      <w:sz w:val="16"/>
      <w:szCs w:val="16"/>
      <w:lang w:val="uk-UA"/>
    </w:rPr>
  </w:style>
  <w:style w:type="character" w:styleId="Uwydatnienie">
    <w:name w:val="Emphasis"/>
    <w:basedOn w:val="Domylnaczcionkaakapitu"/>
    <w:uiPriority w:val="20"/>
    <w:qFormat/>
    <w:rsid w:val="001748D7"/>
    <w:rPr>
      <w:i/>
      <w:iCs/>
    </w:rPr>
  </w:style>
  <w:style w:type="paragraph" w:styleId="Tematkomentarza">
    <w:name w:val="annotation subject"/>
    <w:basedOn w:val="Tekstkomentarza"/>
    <w:next w:val="Tekstkomentarza"/>
    <w:link w:val="TematkomentarzaZnak"/>
    <w:uiPriority w:val="99"/>
    <w:semiHidden/>
    <w:unhideWhenUsed/>
    <w:rsid w:val="00C3044C"/>
    <w:pPr>
      <w:spacing w:line="240" w:lineRule="auto"/>
    </w:pPr>
    <w:rPr>
      <w:b/>
      <w:bCs/>
    </w:rPr>
  </w:style>
  <w:style w:type="character" w:customStyle="1" w:styleId="TematkomentarzaZnak">
    <w:name w:val="Temat komentarza Znak"/>
    <w:basedOn w:val="TekstkomentarzaZnak"/>
    <w:link w:val="Tematkomentarza"/>
    <w:uiPriority w:val="99"/>
    <w:semiHidden/>
    <w:rsid w:val="00C3044C"/>
    <w:rPr>
      <w:rFonts w:ascii="Calibri" w:eastAsia="Calibri" w:hAnsi="Calibri" w:cs="Times New Roman"/>
      <w:b/>
      <w:bCs/>
      <w:sz w:val="20"/>
      <w:szCs w:val="20"/>
      <w:lang w:val="uk-UA"/>
    </w:rPr>
  </w:style>
  <w:style w:type="paragraph" w:customStyle="1" w:styleId="m-4741010989525625677xfmc1">
    <w:name w:val="m_-4741010989525625677xfmc1"/>
    <w:basedOn w:val="Normalny"/>
    <w:rsid w:val="00CA196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0">
    <w:name w:val="Неразрешенное упоминание1"/>
    <w:basedOn w:val="Domylnaczcionkaakapitu"/>
    <w:uiPriority w:val="99"/>
    <w:semiHidden/>
    <w:unhideWhenUsed/>
    <w:rsid w:val="00281964"/>
    <w:rPr>
      <w:color w:val="605E5C"/>
      <w:shd w:val="clear" w:color="auto" w:fill="E1DFDD"/>
    </w:rPr>
  </w:style>
  <w:style w:type="character" w:customStyle="1" w:styleId="Nagwek3Znak">
    <w:name w:val="Nagłówek 3 Znak"/>
    <w:basedOn w:val="Domylnaczcionkaakapitu"/>
    <w:link w:val="Nagwek3"/>
    <w:uiPriority w:val="9"/>
    <w:semiHidden/>
    <w:rsid w:val="00CD7114"/>
    <w:rPr>
      <w:rFonts w:asciiTheme="majorHAnsi" w:eastAsiaTheme="majorEastAsia" w:hAnsiTheme="majorHAnsi" w:cstheme="majorBidi"/>
      <w:color w:val="243F60" w:themeColor="accent1" w:themeShade="7F"/>
      <w:sz w:val="24"/>
      <w:szCs w:val="24"/>
      <w:lang w:val="uk-UA"/>
    </w:rPr>
  </w:style>
  <w:style w:type="paragraph" w:customStyle="1" w:styleId="PSAuthors">
    <w:name w:val="PS Authors"/>
    <w:next w:val="Normalny"/>
    <w:autoRedefine/>
    <w:uiPriority w:val="99"/>
    <w:qFormat/>
    <w:rsid w:val="00AC204A"/>
    <w:pPr>
      <w:numPr>
        <w:numId w:val="8"/>
      </w:numPr>
      <w:shd w:val="clear" w:color="auto" w:fill="FFFFFF"/>
      <w:spacing w:after="0" w:line="240" w:lineRule="auto"/>
      <w:jc w:val="both"/>
    </w:pPr>
    <w:rPr>
      <w:rFonts w:ascii="Times New Roman" w:eastAsia="MS Mincho" w:hAnsi="Times New Roman" w:cs="Times New Roman"/>
      <w:sz w:val="24"/>
      <w:szCs w:val="24"/>
      <w:lang w:val="uk-UA"/>
    </w:rPr>
  </w:style>
  <w:style w:type="paragraph" w:customStyle="1" w:styleId="nova-legacy-e-listitem">
    <w:name w:val="nova-legacy-e-list__item"/>
    <w:basedOn w:val="Normalny"/>
    <w:rsid w:val="00CB182B"/>
    <w:pPr>
      <w:spacing w:before="100" w:beforeAutospacing="1" w:after="100" w:afterAutospacing="1" w:line="240" w:lineRule="auto"/>
    </w:pPr>
    <w:rPr>
      <w:rFonts w:ascii="Times New Roman" w:eastAsia="Times New Roman" w:hAnsi="Times New Roman"/>
      <w:sz w:val="24"/>
      <w:szCs w:val="24"/>
    </w:rPr>
  </w:style>
  <w:style w:type="character" w:customStyle="1" w:styleId="personname">
    <w:name w:val="person_name"/>
    <w:basedOn w:val="Domylnaczcionkaakapitu"/>
    <w:rsid w:val="006D68AD"/>
  </w:style>
  <w:style w:type="character" w:styleId="Pogrubienie">
    <w:name w:val="Strong"/>
    <w:basedOn w:val="Domylnaczcionkaakapitu"/>
    <w:uiPriority w:val="22"/>
    <w:qFormat/>
    <w:rsid w:val="006D68AD"/>
    <w:rPr>
      <w:b/>
      <w:bCs/>
    </w:rPr>
  </w:style>
  <w:style w:type="character" w:customStyle="1" w:styleId="italic-text">
    <w:name w:val="italic-text"/>
    <w:basedOn w:val="Domylnaczcionkaakapitu"/>
    <w:rsid w:val="0006606B"/>
  </w:style>
  <w:style w:type="character" w:customStyle="1" w:styleId="text">
    <w:name w:val="text"/>
    <w:basedOn w:val="Domylnaczcionkaakapitu"/>
    <w:rsid w:val="00980DD3"/>
  </w:style>
  <w:style w:type="character" w:customStyle="1" w:styleId="author-ref">
    <w:name w:val="author-ref"/>
    <w:basedOn w:val="Domylnaczcionkaakapitu"/>
    <w:rsid w:val="00980DD3"/>
  </w:style>
  <w:style w:type="paragraph" w:customStyle="1" w:styleId="11">
    <w:name w:val="1"/>
    <w:basedOn w:val="Normalny"/>
    <w:next w:val="NormalnyWeb"/>
    <w:uiPriority w:val="99"/>
    <w:unhideWhenUsed/>
    <w:rsid w:val="007F550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2">
    <w:name w:val="Незакрита згадка1"/>
    <w:basedOn w:val="Domylnaczcionkaakapitu"/>
    <w:uiPriority w:val="99"/>
    <w:semiHidden/>
    <w:unhideWhenUsed/>
    <w:rsid w:val="00BE5ED7"/>
    <w:rPr>
      <w:color w:val="605E5C"/>
      <w:shd w:val="clear" w:color="auto" w:fill="E1DFDD"/>
    </w:rPr>
  </w:style>
  <w:style w:type="character" w:customStyle="1" w:styleId="typography">
    <w:name w:val="typography"/>
    <w:basedOn w:val="Domylnaczcionkaakapitu"/>
    <w:rsid w:val="007E7ACE"/>
  </w:style>
  <w:style w:type="character" w:customStyle="1" w:styleId="text-bold">
    <w:name w:val="text-bold"/>
    <w:basedOn w:val="Domylnaczcionkaakapitu"/>
    <w:rsid w:val="007E7ACE"/>
  </w:style>
  <w:style w:type="character" w:customStyle="1" w:styleId="text-meta">
    <w:name w:val="text-meta"/>
    <w:basedOn w:val="Domylnaczcionkaakapitu"/>
    <w:rsid w:val="007E7ACE"/>
  </w:style>
  <w:style w:type="paragraph" w:styleId="Nagwek">
    <w:name w:val="header"/>
    <w:basedOn w:val="Normalny"/>
    <w:link w:val="NagwekZnak"/>
    <w:uiPriority w:val="99"/>
    <w:unhideWhenUsed/>
    <w:rsid w:val="00B3607E"/>
    <w:pPr>
      <w:tabs>
        <w:tab w:val="center" w:pos="4677"/>
        <w:tab w:val="right" w:pos="9355"/>
      </w:tabs>
      <w:spacing w:after="0" w:line="240" w:lineRule="auto"/>
    </w:pPr>
  </w:style>
  <w:style w:type="character" w:customStyle="1" w:styleId="NagwekZnak">
    <w:name w:val="Nagłówek Znak"/>
    <w:basedOn w:val="Domylnaczcionkaakapitu"/>
    <w:link w:val="Nagwek"/>
    <w:uiPriority w:val="99"/>
    <w:rsid w:val="00B3607E"/>
    <w:rPr>
      <w:rFonts w:ascii="Calibri" w:eastAsia="Calibri" w:hAnsi="Calibri" w:cs="Times New Roman"/>
      <w:lang w:val="uk-UA"/>
    </w:rPr>
  </w:style>
  <w:style w:type="paragraph" w:styleId="Stopka">
    <w:name w:val="footer"/>
    <w:basedOn w:val="Normalny"/>
    <w:link w:val="StopkaZnak"/>
    <w:uiPriority w:val="99"/>
    <w:unhideWhenUsed/>
    <w:rsid w:val="00B3607E"/>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B3607E"/>
    <w:rPr>
      <w:rFonts w:ascii="Calibri" w:eastAsia="Calibri" w:hAnsi="Calibri" w:cs="Times New Roman"/>
      <w:lang w:val="uk-UA"/>
    </w:rPr>
  </w:style>
  <w:style w:type="table" w:customStyle="1" w:styleId="13">
    <w:name w:val="Сетка таблицы1"/>
    <w:basedOn w:val="Standardowy"/>
    <w:next w:val="Tabela-Siatka"/>
    <w:uiPriority w:val="39"/>
    <w:rsid w:val="002231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b1">
    <w:name w:val="R_ab1"/>
    <w:next w:val="Normalny"/>
    <w:autoRedefine/>
    <w:qFormat/>
    <w:rsid w:val="008B602E"/>
    <w:pPr>
      <w:suppressAutoHyphens/>
      <w:spacing w:before="120" w:after="0" w:line="240" w:lineRule="auto"/>
      <w:ind w:left="567" w:right="567"/>
      <w:jc w:val="both"/>
    </w:pPr>
    <w:rPr>
      <w:rFonts w:ascii="Times New Roman" w:eastAsia="SimSun" w:hAnsi="Times New Roman" w:cs="Times New Roman"/>
      <w:kern w:val="2"/>
      <w:sz w:val="18"/>
      <w:szCs w:val="20"/>
      <w:lang w:val="en-GB" w:eastAsia="pl-PL"/>
    </w:rPr>
  </w:style>
  <w:style w:type="paragraph" w:customStyle="1" w:styleId="Rab2">
    <w:name w:val="R_ab2"/>
    <w:basedOn w:val="Rab1"/>
    <w:next w:val="Normalny"/>
    <w:autoRedefine/>
    <w:qFormat/>
    <w:rsid w:val="008B602E"/>
    <w:pPr>
      <w:spacing w:before="60"/>
    </w:pPr>
  </w:style>
  <w:style w:type="paragraph" w:customStyle="1" w:styleId="Rafiliacja">
    <w:name w:val="R_afiliacja"/>
    <w:basedOn w:val="Normalny"/>
    <w:link w:val="RafiliacjaZnak"/>
    <w:qFormat/>
    <w:rsid w:val="008B602E"/>
    <w:pPr>
      <w:suppressAutoHyphens/>
      <w:spacing w:after="0" w:line="240" w:lineRule="auto"/>
      <w:jc w:val="center"/>
    </w:pPr>
    <w:rPr>
      <w:rFonts w:ascii="Times New Roman" w:eastAsiaTheme="minorHAnsi" w:hAnsi="Times New Roman"/>
      <w:i/>
      <w:kern w:val="2"/>
      <w:sz w:val="20"/>
      <w:szCs w:val="28"/>
      <w:lang w:val="pl-PL"/>
    </w:rPr>
  </w:style>
  <w:style w:type="character" w:customStyle="1" w:styleId="RafiliacjaZnak">
    <w:name w:val="R_afiliacja Znak"/>
    <w:basedOn w:val="Domylnaczcionkaakapitu"/>
    <w:link w:val="Rafiliacja"/>
    <w:rsid w:val="008B602E"/>
    <w:rPr>
      <w:rFonts w:ascii="Times New Roman" w:hAnsi="Times New Roman" w:cs="Times New Roman"/>
      <w:i/>
      <w:kern w:val="2"/>
      <w:sz w:val="20"/>
      <w:szCs w:val="28"/>
      <w:lang w:val="pl-PL"/>
    </w:rPr>
  </w:style>
  <w:style w:type="paragraph" w:customStyle="1" w:styleId="Rauco">
    <w:name w:val="R_au_co"/>
    <w:basedOn w:val="Rafiliacja"/>
    <w:autoRedefine/>
    <w:qFormat/>
    <w:rsid w:val="00154B44"/>
    <w:pPr>
      <w:spacing w:before="120"/>
    </w:pPr>
    <w:rPr>
      <w:lang w:val="en-GB"/>
    </w:rPr>
  </w:style>
  <w:style w:type="paragraph" w:customStyle="1" w:styleId="Rn1">
    <w:name w:val="R_n1"/>
    <w:basedOn w:val="Normalny"/>
    <w:link w:val="Rn1Znak"/>
    <w:qFormat/>
    <w:rsid w:val="008B602E"/>
    <w:pPr>
      <w:suppressAutoHyphens/>
      <w:spacing w:before="240" w:after="120" w:line="240" w:lineRule="auto"/>
      <w:jc w:val="both"/>
    </w:pPr>
    <w:rPr>
      <w:rFonts w:ascii="Times New Roman" w:eastAsiaTheme="minorHAnsi" w:hAnsi="Times New Roman" w:cstheme="minorBidi"/>
      <w:b/>
      <w:kern w:val="2"/>
      <w:sz w:val="24"/>
      <w:lang w:val="pl-PL"/>
    </w:rPr>
  </w:style>
  <w:style w:type="character" w:customStyle="1" w:styleId="Rn1Znak">
    <w:name w:val="R_n1 Znak"/>
    <w:basedOn w:val="Domylnaczcionkaakapitu"/>
    <w:link w:val="Rn1"/>
    <w:rsid w:val="008B602E"/>
    <w:rPr>
      <w:rFonts w:ascii="Times New Roman" w:hAnsi="Times New Roman"/>
      <w:b/>
      <w:kern w:val="2"/>
      <w:sz w:val="24"/>
      <w:lang w:val="pl-PL"/>
    </w:rPr>
  </w:style>
  <w:style w:type="paragraph" w:customStyle="1" w:styleId="Rn2">
    <w:name w:val="R_n2"/>
    <w:basedOn w:val="Rn1"/>
    <w:link w:val="Rn2Znak"/>
    <w:qFormat/>
    <w:rsid w:val="008B602E"/>
    <w:pPr>
      <w:spacing w:before="120"/>
      <w:jc w:val="left"/>
    </w:pPr>
    <w:rPr>
      <w:sz w:val="22"/>
    </w:rPr>
  </w:style>
  <w:style w:type="character" w:customStyle="1" w:styleId="Rn2Znak">
    <w:name w:val="R_n2 Znak"/>
    <w:link w:val="Rn2"/>
    <w:rsid w:val="008B602E"/>
    <w:rPr>
      <w:rFonts w:ascii="Times New Roman" w:hAnsi="Times New Roman"/>
      <w:b/>
      <w:kern w:val="2"/>
      <w:lang w:val="pl-PL"/>
    </w:rPr>
  </w:style>
  <w:style w:type="paragraph" w:customStyle="1" w:styleId="Rtytu">
    <w:name w:val="R_tytuł"/>
    <w:basedOn w:val="Rn2"/>
    <w:link w:val="RtytuZnak"/>
    <w:autoRedefine/>
    <w:qFormat/>
    <w:rsid w:val="008B602E"/>
    <w:pPr>
      <w:spacing w:before="240" w:after="0"/>
      <w:jc w:val="center"/>
    </w:pPr>
    <w:rPr>
      <w:sz w:val="24"/>
      <w:szCs w:val="28"/>
    </w:rPr>
  </w:style>
  <w:style w:type="character" w:customStyle="1" w:styleId="RtytuZnak">
    <w:name w:val="R_tytuł Znak"/>
    <w:basedOn w:val="Rn2Znak"/>
    <w:link w:val="Rtytu"/>
    <w:rsid w:val="008B602E"/>
    <w:rPr>
      <w:rFonts w:ascii="Times New Roman" w:hAnsi="Times New Roman"/>
      <w:b/>
      <w:kern w:val="2"/>
      <w:sz w:val="24"/>
      <w:szCs w:val="28"/>
      <w:lang w:val="pl-PL"/>
    </w:rPr>
  </w:style>
  <w:style w:type="paragraph" w:customStyle="1" w:styleId="Rautor">
    <w:name w:val="R_autor"/>
    <w:basedOn w:val="Rtytu"/>
    <w:link w:val="RautorZnak"/>
    <w:autoRedefine/>
    <w:qFormat/>
    <w:rsid w:val="008B602E"/>
    <w:pPr>
      <w:spacing w:before="120"/>
    </w:pPr>
    <w:rPr>
      <w:rFonts w:eastAsia="Calibri" w:cs="Times New Roman"/>
      <w:b w:val="0"/>
      <w:i/>
    </w:rPr>
  </w:style>
  <w:style w:type="character" w:customStyle="1" w:styleId="RautorZnak">
    <w:name w:val="R_autor Znak"/>
    <w:link w:val="Rautor"/>
    <w:rsid w:val="008B602E"/>
    <w:rPr>
      <w:rFonts w:ascii="Times New Roman" w:eastAsia="Calibri" w:hAnsi="Times New Roman" w:cs="Times New Roman"/>
      <w:i/>
      <w:kern w:val="2"/>
      <w:sz w:val="24"/>
      <w:szCs w:val="28"/>
      <w:lang w:val="pl-PL"/>
    </w:rPr>
  </w:style>
  <w:style w:type="paragraph" w:customStyle="1" w:styleId="Rlit">
    <w:name w:val="R_lit"/>
    <w:basedOn w:val="Normalny"/>
    <w:link w:val="RlitZnak"/>
    <w:qFormat/>
    <w:rsid w:val="008B602E"/>
    <w:pPr>
      <w:spacing w:after="0" w:line="240" w:lineRule="auto"/>
      <w:ind w:left="425" w:hanging="425"/>
      <w:jc w:val="both"/>
    </w:pPr>
    <w:rPr>
      <w:rFonts w:ascii="Times New Roman" w:eastAsia="Times New Roman" w:hAnsi="Times New Roman"/>
      <w:kern w:val="2"/>
      <w:sz w:val="20"/>
      <w:szCs w:val="20"/>
      <w:lang w:val="en-US" w:eastAsia="pl-PL"/>
    </w:rPr>
  </w:style>
  <w:style w:type="character" w:customStyle="1" w:styleId="RlitZnak">
    <w:name w:val="R_lit Znak"/>
    <w:basedOn w:val="Domylnaczcionkaakapitu"/>
    <w:link w:val="Rlit"/>
    <w:rsid w:val="008B602E"/>
    <w:rPr>
      <w:rFonts w:ascii="Times New Roman" w:eastAsia="Times New Roman" w:hAnsi="Times New Roman" w:cs="Times New Roman"/>
      <w:kern w:val="2"/>
      <w:sz w:val="20"/>
      <w:szCs w:val="20"/>
      <w:lang w:val="en-US" w:eastAsia="pl-PL"/>
    </w:rPr>
  </w:style>
  <w:style w:type="paragraph" w:customStyle="1" w:styleId="Rtab">
    <w:name w:val="R_tab"/>
    <w:basedOn w:val="Normalny"/>
    <w:link w:val="RtabZnak"/>
    <w:qFormat/>
    <w:rsid w:val="008B602E"/>
    <w:pPr>
      <w:suppressAutoHyphens/>
      <w:spacing w:after="120" w:line="240" w:lineRule="auto"/>
    </w:pPr>
    <w:rPr>
      <w:rFonts w:ascii="Times New Roman" w:eastAsiaTheme="minorHAnsi" w:hAnsi="Times New Roman" w:cstheme="minorBidi"/>
      <w:kern w:val="2"/>
      <w:sz w:val="20"/>
      <w:lang w:val="pl-PL"/>
    </w:rPr>
  </w:style>
  <w:style w:type="character" w:customStyle="1" w:styleId="RtabZnak">
    <w:name w:val="R_tab Znak"/>
    <w:basedOn w:val="Domylnaczcionkaakapitu"/>
    <w:link w:val="Rtab"/>
    <w:rsid w:val="008B602E"/>
    <w:rPr>
      <w:rFonts w:ascii="Times New Roman" w:hAnsi="Times New Roman"/>
      <w:kern w:val="2"/>
      <w:sz w:val="20"/>
      <w:lang w:val="pl-PL"/>
    </w:rPr>
  </w:style>
  <w:style w:type="paragraph" w:customStyle="1" w:styleId="Rn3">
    <w:name w:val="R_n3"/>
    <w:basedOn w:val="Rtab"/>
    <w:link w:val="Rn3Znak"/>
    <w:qFormat/>
    <w:rsid w:val="008B602E"/>
    <w:pPr>
      <w:spacing w:before="120"/>
      <w:jc w:val="both"/>
    </w:pPr>
    <w:rPr>
      <w:i/>
    </w:rPr>
  </w:style>
  <w:style w:type="character" w:customStyle="1" w:styleId="Rn3Znak">
    <w:name w:val="R_n3 Znak"/>
    <w:basedOn w:val="RtabZnak"/>
    <w:link w:val="Rn3"/>
    <w:rsid w:val="008B602E"/>
    <w:rPr>
      <w:rFonts w:ascii="Times New Roman" w:hAnsi="Times New Roman"/>
      <w:i/>
      <w:kern w:val="2"/>
      <w:sz w:val="20"/>
      <w:lang w:val="pl-PL"/>
    </w:rPr>
  </w:style>
  <w:style w:type="paragraph" w:customStyle="1" w:styleId="Rrys">
    <w:name w:val="R_rys"/>
    <w:basedOn w:val="Rafiliacja"/>
    <w:link w:val="RrysZnak"/>
    <w:qFormat/>
    <w:rsid w:val="008B602E"/>
    <w:pPr>
      <w:spacing w:before="120"/>
      <w:jc w:val="left"/>
    </w:pPr>
    <w:rPr>
      <w:i w:val="0"/>
    </w:rPr>
  </w:style>
  <w:style w:type="character" w:customStyle="1" w:styleId="RrysZnak">
    <w:name w:val="R_rys Znak"/>
    <w:basedOn w:val="RafiliacjaZnak"/>
    <w:link w:val="Rrys"/>
    <w:rsid w:val="008B602E"/>
    <w:rPr>
      <w:rFonts w:ascii="Times New Roman" w:hAnsi="Times New Roman" w:cs="Times New Roman"/>
      <w:i w:val="0"/>
      <w:kern w:val="2"/>
      <w:sz w:val="20"/>
      <w:szCs w:val="28"/>
      <w:lang w:val="pl-PL"/>
    </w:rPr>
  </w:style>
  <w:style w:type="character" w:styleId="Nierozpoznanawzmianka">
    <w:name w:val="Unresolved Mention"/>
    <w:basedOn w:val="Domylnaczcionkaakapitu"/>
    <w:uiPriority w:val="99"/>
    <w:semiHidden/>
    <w:unhideWhenUsed/>
    <w:rsid w:val="00BF2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4085">
      <w:bodyDiv w:val="1"/>
      <w:marLeft w:val="0"/>
      <w:marRight w:val="0"/>
      <w:marTop w:val="0"/>
      <w:marBottom w:val="0"/>
      <w:divBdr>
        <w:top w:val="none" w:sz="0" w:space="0" w:color="auto"/>
        <w:left w:val="none" w:sz="0" w:space="0" w:color="auto"/>
        <w:bottom w:val="none" w:sz="0" w:space="0" w:color="auto"/>
        <w:right w:val="none" w:sz="0" w:space="0" w:color="auto"/>
      </w:divBdr>
    </w:div>
    <w:div w:id="102842828">
      <w:bodyDiv w:val="1"/>
      <w:marLeft w:val="0"/>
      <w:marRight w:val="0"/>
      <w:marTop w:val="0"/>
      <w:marBottom w:val="0"/>
      <w:divBdr>
        <w:top w:val="none" w:sz="0" w:space="0" w:color="auto"/>
        <w:left w:val="none" w:sz="0" w:space="0" w:color="auto"/>
        <w:bottom w:val="none" w:sz="0" w:space="0" w:color="auto"/>
        <w:right w:val="none" w:sz="0" w:space="0" w:color="auto"/>
      </w:divBdr>
    </w:div>
    <w:div w:id="122430382">
      <w:bodyDiv w:val="1"/>
      <w:marLeft w:val="0"/>
      <w:marRight w:val="0"/>
      <w:marTop w:val="0"/>
      <w:marBottom w:val="0"/>
      <w:divBdr>
        <w:top w:val="none" w:sz="0" w:space="0" w:color="auto"/>
        <w:left w:val="none" w:sz="0" w:space="0" w:color="auto"/>
        <w:bottom w:val="none" w:sz="0" w:space="0" w:color="auto"/>
        <w:right w:val="none" w:sz="0" w:space="0" w:color="auto"/>
      </w:divBdr>
    </w:div>
    <w:div w:id="128010686">
      <w:bodyDiv w:val="1"/>
      <w:marLeft w:val="0"/>
      <w:marRight w:val="0"/>
      <w:marTop w:val="0"/>
      <w:marBottom w:val="0"/>
      <w:divBdr>
        <w:top w:val="none" w:sz="0" w:space="0" w:color="auto"/>
        <w:left w:val="none" w:sz="0" w:space="0" w:color="auto"/>
        <w:bottom w:val="none" w:sz="0" w:space="0" w:color="auto"/>
        <w:right w:val="none" w:sz="0" w:space="0" w:color="auto"/>
      </w:divBdr>
    </w:div>
    <w:div w:id="144320504">
      <w:bodyDiv w:val="1"/>
      <w:marLeft w:val="0"/>
      <w:marRight w:val="0"/>
      <w:marTop w:val="0"/>
      <w:marBottom w:val="0"/>
      <w:divBdr>
        <w:top w:val="none" w:sz="0" w:space="0" w:color="auto"/>
        <w:left w:val="none" w:sz="0" w:space="0" w:color="auto"/>
        <w:bottom w:val="none" w:sz="0" w:space="0" w:color="auto"/>
        <w:right w:val="none" w:sz="0" w:space="0" w:color="auto"/>
      </w:divBdr>
    </w:div>
    <w:div w:id="339161253">
      <w:bodyDiv w:val="1"/>
      <w:marLeft w:val="0"/>
      <w:marRight w:val="0"/>
      <w:marTop w:val="0"/>
      <w:marBottom w:val="0"/>
      <w:divBdr>
        <w:top w:val="none" w:sz="0" w:space="0" w:color="auto"/>
        <w:left w:val="none" w:sz="0" w:space="0" w:color="auto"/>
        <w:bottom w:val="none" w:sz="0" w:space="0" w:color="auto"/>
        <w:right w:val="none" w:sz="0" w:space="0" w:color="auto"/>
      </w:divBdr>
    </w:div>
    <w:div w:id="359819106">
      <w:bodyDiv w:val="1"/>
      <w:marLeft w:val="0"/>
      <w:marRight w:val="0"/>
      <w:marTop w:val="0"/>
      <w:marBottom w:val="0"/>
      <w:divBdr>
        <w:top w:val="none" w:sz="0" w:space="0" w:color="auto"/>
        <w:left w:val="none" w:sz="0" w:space="0" w:color="auto"/>
        <w:bottom w:val="none" w:sz="0" w:space="0" w:color="auto"/>
        <w:right w:val="none" w:sz="0" w:space="0" w:color="auto"/>
      </w:divBdr>
    </w:div>
    <w:div w:id="378819193">
      <w:bodyDiv w:val="1"/>
      <w:marLeft w:val="0"/>
      <w:marRight w:val="0"/>
      <w:marTop w:val="0"/>
      <w:marBottom w:val="0"/>
      <w:divBdr>
        <w:top w:val="none" w:sz="0" w:space="0" w:color="auto"/>
        <w:left w:val="none" w:sz="0" w:space="0" w:color="auto"/>
        <w:bottom w:val="none" w:sz="0" w:space="0" w:color="auto"/>
        <w:right w:val="none" w:sz="0" w:space="0" w:color="auto"/>
      </w:divBdr>
    </w:div>
    <w:div w:id="398865753">
      <w:bodyDiv w:val="1"/>
      <w:marLeft w:val="0"/>
      <w:marRight w:val="0"/>
      <w:marTop w:val="0"/>
      <w:marBottom w:val="0"/>
      <w:divBdr>
        <w:top w:val="none" w:sz="0" w:space="0" w:color="auto"/>
        <w:left w:val="none" w:sz="0" w:space="0" w:color="auto"/>
        <w:bottom w:val="none" w:sz="0" w:space="0" w:color="auto"/>
        <w:right w:val="none" w:sz="0" w:space="0" w:color="auto"/>
      </w:divBdr>
    </w:div>
    <w:div w:id="455412404">
      <w:bodyDiv w:val="1"/>
      <w:marLeft w:val="0"/>
      <w:marRight w:val="0"/>
      <w:marTop w:val="0"/>
      <w:marBottom w:val="0"/>
      <w:divBdr>
        <w:top w:val="none" w:sz="0" w:space="0" w:color="auto"/>
        <w:left w:val="none" w:sz="0" w:space="0" w:color="auto"/>
        <w:bottom w:val="none" w:sz="0" w:space="0" w:color="auto"/>
        <w:right w:val="none" w:sz="0" w:space="0" w:color="auto"/>
      </w:divBdr>
    </w:div>
    <w:div w:id="471211156">
      <w:bodyDiv w:val="1"/>
      <w:marLeft w:val="0"/>
      <w:marRight w:val="0"/>
      <w:marTop w:val="0"/>
      <w:marBottom w:val="0"/>
      <w:divBdr>
        <w:top w:val="none" w:sz="0" w:space="0" w:color="auto"/>
        <w:left w:val="none" w:sz="0" w:space="0" w:color="auto"/>
        <w:bottom w:val="none" w:sz="0" w:space="0" w:color="auto"/>
        <w:right w:val="none" w:sz="0" w:space="0" w:color="auto"/>
      </w:divBdr>
    </w:div>
    <w:div w:id="524707941">
      <w:bodyDiv w:val="1"/>
      <w:marLeft w:val="0"/>
      <w:marRight w:val="0"/>
      <w:marTop w:val="0"/>
      <w:marBottom w:val="0"/>
      <w:divBdr>
        <w:top w:val="none" w:sz="0" w:space="0" w:color="auto"/>
        <w:left w:val="none" w:sz="0" w:space="0" w:color="auto"/>
        <w:bottom w:val="none" w:sz="0" w:space="0" w:color="auto"/>
        <w:right w:val="none" w:sz="0" w:space="0" w:color="auto"/>
      </w:divBdr>
    </w:div>
    <w:div w:id="582380336">
      <w:bodyDiv w:val="1"/>
      <w:marLeft w:val="0"/>
      <w:marRight w:val="0"/>
      <w:marTop w:val="0"/>
      <w:marBottom w:val="0"/>
      <w:divBdr>
        <w:top w:val="none" w:sz="0" w:space="0" w:color="auto"/>
        <w:left w:val="none" w:sz="0" w:space="0" w:color="auto"/>
        <w:bottom w:val="none" w:sz="0" w:space="0" w:color="auto"/>
        <w:right w:val="none" w:sz="0" w:space="0" w:color="auto"/>
      </w:divBdr>
    </w:div>
    <w:div w:id="635647049">
      <w:bodyDiv w:val="1"/>
      <w:marLeft w:val="0"/>
      <w:marRight w:val="0"/>
      <w:marTop w:val="0"/>
      <w:marBottom w:val="0"/>
      <w:divBdr>
        <w:top w:val="none" w:sz="0" w:space="0" w:color="auto"/>
        <w:left w:val="none" w:sz="0" w:space="0" w:color="auto"/>
        <w:bottom w:val="none" w:sz="0" w:space="0" w:color="auto"/>
        <w:right w:val="none" w:sz="0" w:space="0" w:color="auto"/>
      </w:divBdr>
    </w:div>
    <w:div w:id="709190045">
      <w:bodyDiv w:val="1"/>
      <w:marLeft w:val="0"/>
      <w:marRight w:val="0"/>
      <w:marTop w:val="0"/>
      <w:marBottom w:val="0"/>
      <w:divBdr>
        <w:top w:val="none" w:sz="0" w:space="0" w:color="auto"/>
        <w:left w:val="none" w:sz="0" w:space="0" w:color="auto"/>
        <w:bottom w:val="none" w:sz="0" w:space="0" w:color="auto"/>
        <w:right w:val="none" w:sz="0" w:space="0" w:color="auto"/>
      </w:divBdr>
    </w:div>
    <w:div w:id="728384859">
      <w:bodyDiv w:val="1"/>
      <w:marLeft w:val="0"/>
      <w:marRight w:val="0"/>
      <w:marTop w:val="0"/>
      <w:marBottom w:val="0"/>
      <w:divBdr>
        <w:top w:val="none" w:sz="0" w:space="0" w:color="auto"/>
        <w:left w:val="none" w:sz="0" w:space="0" w:color="auto"/>
        <w:bottom w:val="none" w:sz="0" w:space="0" w:color="auto"/>
        <w:right w:val="none" w:sz="0" w:space="0" w:color="auto"/>
      </w:divBdr>
    </w:div>
    <w:div w:id="838010712">
      <w:bodyDiv w:val="1"/>
      <w:marLeft w:val="0"/>
      <w:marRight w:val="0"/>
      <w:marTop w:val="0"/>
      <w:marBottom w:val="0"/>
      <w:divBdr>
        <w:top w:val="none" w:sz="0" w:space="0" w:color="auto"/>
        <w:left w:val="none" w:sz="0" w:space="0" w:color="auto"/>
        <w:bottom w:val="none" w:sz="0" w:space="0" w:color="auto"/>
        <w:right w:val="none" w:sz="0" w:space="0" w:color="auto"/>
      </w:divBdr>
    </w:div>
    <w:div w:id="901402190">
      <w:bodyDiv w:val="1"/>
      <w:marLeft w:val="0"/>
      <w:marRight w:val="0"/>
      <w:marTop w:val="0"/>
      <w:marBottom w:val="0"/>
      <w:divBdr>
        <w:top w:val="none" w:sz="0" w:space="0" w:color="auto"/>
        <w:left w:val="none" w:sz="0" w:space="0" w:color="auto"/>
        <w:bottom w:val="none" w:sz="0" w:space="0" w:color="auto"/>
        <w:right w:val="none" w:sz="0" w:space="0" w:color="auto"/>
      </w:divBdr>
    </w:div>
    <w:div w:id="927543156">
      <w:bodyDiv w:val="1"/>
      <w:marLeft w:val="0"/>
      <w:marRight w:val="0"/>
      <w:marTop w:val="0"/>
      <w:marBottom w:val="0"/>
      <w:divBdr>
        <w:top w:val="none" w:sz="0" w:space="0" w:color="auto"/>
        <w:left w:val="none" w:sz="0" w:space="0" w:color="auto"/>
        <w:bottom w:val="none" w:sz="0" w:space="0" w:color="auto"/>
        <w:right w:val="none" w:sz="0" w:space="0" w:color="auto"/>
      </w:divBdr>
    </w:div>
    <w:div w:id="935164492">
      <w:bodyDiv w:val="1"/>
      <w:marLeft w:val="0"/>
      <w:marRight w:val="0"/>
      <w:marTop w:val="0"/>
      <w:marBottom w:val="0"/>
      <w:divBdr>
        <w:top w:val="none" w:sz="0" w:space="0" w:color="auto"/>
        <w:left w:val="none" w:sz="0" w:space="0" w:color="auto"/>
        <w:bottom w:val="none" w:sz="0" w:space="0" w:color="auto"/>
        <w:right w:val="none" w:sz="0" w:space="0" w:color="auto"/>
      </w:divBdr>
    </w:div>
    <w:div w:id="959410525">
      <w:bodyDiv w:val="1"/>
      <w:marLeft w:val="0"/>
      <w:marRight w:val="0"/>
      <w:marTop w:val="0"/>
      <w:marBottom w:val="0"/>
      <w:divBdr>
        <w:top w:val="none" w:sz="0" w:space="0" w:color="auto"/>
        <w:left w:val="none" w:sz="0" w:space="0" w:color="auto"/>
        <w:bottom w:val="none" w:sz="0" w:space="0" w:color="auto"/>
        <w:right w:val="none" w:sz="0" w:space="0" w:color="auto"/>
      </w:divBdr>
    </w:div>
    <w:div w:id="971448997">
      <w:bodyDiv w:val="1"/>
      <w:marLeft w:val="0"/>
      <w:marRight w:val="0"/>
      <w:marTop w:val="0"/>
      <w:marBottom w:val="0"/>
      <w:divBdr>
        <w:top w:val="none" w:sz="0" w:space="0" w:color="auto"/>
        <w:left w:val="none" w:sz="0" w:space="0" w:color="auto"/>
        <w:bottom w:val="none" w:sz="0" w:space="0" w:color="auto"/>
        <w:right w:val="none" w:sz="0" w:space="0" w:color="auto"/>
      </w:divBdr>
    </w:div>
    <w:div w:id="1073314927">
      <w:bodyDiv w:val="1"/>
      <w:marLeft w:val="0"/>
      <w:marRight w:val="0"/>
      <w:marTop w:val="0"/>
      <w:marBottom w:val="0"/>
      <w:divBdr>
        <w:top w:val="none" w:sz="0" w:space="0" w:color="auto"/>
        <w:left w:val="none" w:sz="0" w:space="0" w:color="auto"/>
        <w:bottom w:val="none" w:sz="0" w:space="0" w:color="auto"/>
        <w:right w:val="none" w:sz="0" w:space="0" w:color="auto"/>
      </w:divBdr>
    </w:div>
    <w:div w:id="1097211969">
      <w:bodyDiv w:val="1"/>
      <w:marLeft w:val="0"/>
      <w:marRight w:val="0"/>
      <w:marTop w:val="0"/>
      <w:marBottom w:val="0"/>
      <w:divBdr>
        <w:top w:val="none" w:sz="0" w:space="0" w:color="auto"/>
        <w:left w:val="none" w:sz="0" w:space="0" w:color="auto"/>
        <w:bottom w:val="none" w:sz="0" w:space="0" w:color="auto"/>
        <w:right w:val="none" w:sz="0" w:space="0" w:color="auto"/>
      </w:divBdr>
    </w:div>
    <w:div w:id="1115250175">
      <w:bodyDiv w:val="1"/>
      <w:marLeft w:val="0"/>
      <w:marRight w:val="0"/>
      <w:marTop w:val="0"/>
      <w:marBottom w:val="0"/>
      <w:divBdr>
        <w:top w:val="none" w:sz="0" w:space="0" w:color="auto"/>
        <w:left w:val="none" w:sz="0" w:space="0" w:color="auto"/>
        <w:bottom w:val="none" w:sz="0" w:space="0" w:color="auto"/>
        <w:right w:val="none" w:sz="0" w:space="0" w:color="auto"/>
      </w:divBdr>
    </w:div>
    <w:div w:id="1124809463">
      <w:bodyDiv w:val="1"/>
      <w:marLeft w:val="0"/>
      <w:marRight w:val="0"/>
      <w:marTop w:val="0"/>
      <w:marBottom w:val="0"/>
      <w:divBdr>
        <w:top w:val="none" w:sz="0" w:space="0" w:color="auto"/>
        <w:left w:val="none" w:sz="0" w:space="0" w:color="auto"/>
        <w:bottom w:val="none" w:sz="0" w:space="0" w:color="auto"/>
        <w:right w:val="none" w:sz="0" w:space="0" w:color="auto"/>
      </w:divBdr>
    </w:div>
    <w:div w:id="1222132721">
      <w:bodyDiv w:val="1"/>
      <w:marLeft w:val="0"/>
      <w:marRight w:val="0"/>
      <w:marTop w:val="0"/>
      <w:marBottom w:val="0"/>
      <w:divBdr>
        <w:top w:val="none" w:sz="0" w:space="0" w:color="auto"/>
        <w:left w:val="none" w:sz="0" w:space="0" w:color="auto"/>
        <w:bottom w:val="none" w:sz="0" w:space="0" w:color="auto"/>
        <w:right w:val="none" w:sz="0" w:space="0" w:color="auto"/>
      </w:divBdr>
    </w:div>
    <w:div w:id="1291857582">
      <w:bodyDiv w:val="1"/>
      <w:marLeft w:val="0"/>
      <w:marRight w:val="0"/>
      <w:marTop w:val="0"/>
      <w:marBottom w:val="0"/>
      <w:divBdr>
        <w:top w:val="none" w:sz="0" w:space="0" w:color="auto"/>
        <w:left w:val="none" w:sz="0" w:space="0" w:color="auto"/>
        <w:bottom w:val="none" w:sz="0" w:space="0" w:color="auto"/>
        <w:right w:val="none" w:sz="0" w:space="0" w:color="auto"/>
      </w:divBdr>
    </w:div>
    <w:div w:id="1316107103">
      <w:bodyDiv w:val="1"/>
      <w:marLeft w:val="0"/>
      <w:marRight w:val="0"/>
      <w:marTop w:val="0"/>
      <w:marBottom w:val="0"/>
      <w:divBdr>
        <w:top w:val="none" w:sz="0" w:space="0" w:color="auto"/>
        <w:left w:val="none" w:sz="0" w:space="0" w:color="auto"/>
        <w:bottom w:val="none" w:sz="0" w:space="0" w:color="auto"/>
        <w:right w:val="none" w:sz="0" w:space="0" w:color="auto"/>
      </w:divBdr>
    </w:div>
    <w:div w:id="1335916131">
      <w:bodyDiv w:val="1"/>
      <w:marLeft w:val="0"/>
      <w:marRight w:val="0"/>
      <w:marTop w:val="0"/>
      <w:marBottom w:val="0"/>
      <w:divBdr>
        <w:top w:val="none" w:sz="0" w:space="0" w:color="auto"/>
        <w:left w:val="none" w:sz="0" w:space="0" w:color="auto"/>
        <w:bottom w:val="none" w:sz="0" w:space="0" w:color="auto"/>
        <w:right w:val="none" w:sz="0" w:space="0" w:color="auto"/>
      </w:divBdr>
      <w:divsChild>
        <w:div w:id="71048211">
          <w:marLeft w:val="0"/>
          <w:marRight w:val="0"/>
          <w:marTop w:val="0"/>
          <w:marBottom w:val="150"/>
          <w:divBdr>
            <w:top w:val="none" w:sz="0" w:space="0" w:color="auto"/>
            <w:left w:val="none" w:sz="0" w:space="0" w:color="auto"/>
            <w:bottom w:val="none" w:sz="0" w:space="0" w:color="auto"/>
            <w:right w:val="none" w:sz="0" w:space="0" w:color="auto"/>
          </w:divBdr>
        </w:div>
        <w:div w:id="1631008236">
          <w:marLeft w:val="0"/>
          <w:marRight w:val="0"/>
          <w:marTop w:val="0"/>
          <w:marBottom w:val="225"/>
          <w:divBdr>
            <w:top w:val="none" w:sz="0" w:space="0" w:color="auto"/>
            <w:left w:val="none" w:sz="0" w:space="0" w:color="auto"/>
            <w:bottom w:val="none" w:sz="0" w:space="0" w:color="auto"/>
            <w:right w:val="none" w:sz="0" w:space="0" w:color="auto"/>
          </w:divBdr>
          <w:divsChild>
            <w:div w:id="1203666789">
              <w:marLeft w:val="0"/>
              <w:marRight w:val="0"/>
              <w:marTop w:val="0"/>
              <w:marBottom w:val="0"/>
              <w:divBdr>
                <w:top w:val="none" w:sz="0" w:space="0" w:color="auto"/>
                <w:left w:val="none" w:sz="0" w:space="0" w:color="auto"/>
                <w:bottom w:val="none" w:sz="0" w:space="0" w:color="auto"/>
                <w:right w:val="none" w:sz="0" w:space="0" w:color="auto"/>
              </w:divBdr>
              <w:divsChild>
                <w:div w:id="539905173">
                  <w:marLeft w:val="0"/>
                  <w:marRight w:val="0"/>
                  <w:marTop w:val="0"/>
                  <w:marBottom w:val="75"/>
                  <w:divBdr>
                    <w:top w:val="none" w:sz="0" w:space="0" w:color="auto"/>
                    <w:left w:val="none" w:sz="0" w:space="0" w:color="auto"/>
                    <w:bottom w:val="none" w:sz="0" w:space="0" w:color="auto"/>
                    <w:right w:val="none" w:sz="0" w:space="0" w:color="auto"/>
                  </w:divBdr>
                </w:div>
                <w:div w:id="17649159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72002560">
      <w:bodyDiv w:val="1"/>
      <w:marLeft w:val="0"/>
      <w:marRight w:val="0"/>
      <w:marTop w:val="0"/>
      <w:marBottom w:val="0"/>
      <w:divBdr>
        <w:top w:val="none" w:sz="0" w:space="0" w:color="auto"/>
        <w:left w:val="none" w:sz="0" w:space="0" w:color="auto"/>
        <w:bottom w:val="none" w:sz="0" w:space="0" w:color="auto"/>
        <w:right w:val="none" w:sz="0" w:space="0" w:color="auto"/>
      </w:divBdr>
    </w:div>
    <w:div w:id="1383557721">
      <w:bodyDiv w:val="1"/>
      <w:marLeft w:val="0"/>
      <w:marRight w:val="0"/>
      <w:marTop w:val="0"/>
      <w:marBottom w:val="0"/>
      <w:divBdr>
        <w:top w:val="none" w:sz="0" w:space="0" w:color="auto"/>
        <w:left w:val="none" w:sz="0" w:space="0" w:color="auto"/>
        <w:bottom w:val="none" w:sz="0" w:space="0" w:color="auto"/>
        <w:right w:val="none" w:sz="0" w:space="0" w:color="auto"/>
      </w:divBdr>
    </w:div>
    <w:div w:id="1398474019">
      <w:bodyDiv w:val="1"/>
      <w:marLeft w:val="0"/>
      <w:marRight w:val="0"/>
      <w:marTop w:val="0"/>
      <w:marBottom w:val="0"/>
      <w:divBdr>
        <w:top w:val="none" w:sz="0" w:space="0" w:color="auto"/>
        <w:left w:val="none" w:sz="0" w:space="0" w:color="auto"/>
        <w:bottom w:val="none" w:sz="0" w:space="0" w:color="auto"/>
        <w:right w:val="none" w:sz="0" w:space="0" w:color="auto"/>
      </w:divBdr>
    </w:div>
    <w:div w:id="1450005970">
      <w:bodyDiv w:val="1"/>
      <w:marLeft w:val="0"/>
      <w:marRight w:val="0"/>
      <w:marTop w:val="0"/>
      <w:marBottom w:val="0"/>
      <w:divBdr>
        <w:top w:val="none" w:sz="0" w:space="0" w:color="auto"/>
        <w:left w:val="none" w:sz="0" w:space="0" w:color="auto"/>
        <w:bottom w:val="none" w:sz="0" w:space="0" w:color="auto"/>
        <w:right w:val="none" w:sz="0" w:space="0" w:color="auto"/>
      </w:divBdr>
    </w:div>
    <w:div w:id="1500005186">
      <w:bodyDiv w:val="1"/>
      <w:marLeft w:val="0"/>
      <w:marRight w:val="0"/>
      <w:marTop w:val="0"/>
      <w:marBottom w:val="0"/>
      <w:divBdr>
        <w:top w:val="none" w:sz="0" w:space="0" w:color="auto"/>
        <w:left w:val="none" w:sz="0" w:space="0" w:color="auto"/>
        <w:bottom w:val="none" w:sz="0" w:space="0" w:color="auto"/>
        <w:right w:val="none" w:sz="0" w:space="0" w:color="auto"/>
      </w:divBdr>
    </w:div>
    <w:div w:id="1520509116">
      <w:bodyDiv w:val="1"/>
      <w:marLeft w:val="0"/>
      <w:marRight w:val="0"/>
      <w:marTop w:val="0"/>
      <w:marBottom w:val="0"/>
      <w:divBdr>
        <w:top w:val="none" w:sz="0" w:space="0" w:color="auto"/>
        <w:left w:val="none" w:sz="0" w:space="0" w:color="auto"/>
        <w:bottom w:val="none" w:sz="0" w:space="0" w:color="auto"/>
        <w:right w:val="none" w:sz="0" w:space="0" w:color="auto"/>
      </w:divBdr>
    </w:div>
    <w:div w:id="1526477096">
      <w:bodyDiv w:val="1"/>
      <w:marLeft w:val="0"/>
      <w:marRight w:val="0"/>
      <w:marTop w:val="0"/>
      <w:marBottom w:val="0"/>
      <w:divBdr>
        <w:top w:val="none" w:sz="0" w:space="0" w:color="auto"/>
        <w:left w:val="none" w:sz="0" w:space="0" w:color="auto"/>
        <w:bottom w:val="none" w:sz="0" w:space="0" w:color="auto"/>
        <w:right w:val="none" w:sz="0" w:space="0" w:color="auto"/>
      </w:divBdr>
    </w:div>
    <w:div w:id="1527866416">
      <w:bodyDiv w:val="1"/>
      <w:marLeft w:val="0"/>
      <w:marRight w:val="0"/>
      <w:marTop w:val="0"/>
      <w:marBottom w:val="0"/>
      <w:divBdr>
        <w:top w:val="none" w:sz="0" w:space="0" w:color="auto"/>
        <w:left w:val="none" w:sz="0" w:space="0" w:color="auto"/>
        <w:bottom w:val="none" w:sz="0" w:space="0" w:color="auto"/>
        <w:right w:val="none" w:sz="0" w:space="0" w:color="auto"/>
      </w:divBdr>
    </w:div>
    <w:div w:id="1581016120">
      <w:bodyDiv w:val="1"/>
      <w:marLeft w:val="0"/>
      <w:marRight w:val="0"/>
      <w:marTop w:val="0"/>
      <w:marBottom w:val="0"/>
      <w:divBdr>
        <w:top w:val="none" w:sz="0" w:space="0" w:color="auto"/>
        <w:left w:val="none" w:sz="0" w:space="0" w:color="auto"/>
        <w:bottom w:val="none" w:sz="0" w:space="0" w:color="auto"/>
        <w:right w:val="none" w:sz="0" w:space="0" w:color="auto"/>
      </w:divBdr>
    </w:div>
    <w:div w:id="1604530719">
      <w:bodyDiv w:val="1"/>
      <w:marLeft w:val="0"/>
      <w:marRight w:val="0"/>
      <w:marTop w:val="0"/>
      <w:marBottom w:val="0"/>
      <w:divBdr>
        <w:top w:val="none" w:sz="0" w:space="0" w:color="auto"/>
        <w:left w:val="none" w:sz="0" w:space="0" w:color="auto"/>
        <w:bottom w:val="none" w:sz="0" w:space="0" w:color="auto"/>
        <w:right w:val="none" w:sz="0" w:space="0" w:color="auto"/>
      </w:divBdr>
    </w:div>
    <w:div w:id="1618684685">
      <w:bodyDiv w:val="1"/>
      <w:marLeft w:val="0"/>
      <w:marRight w:val="0"/>
      <w:marTop w:val="0"/>
      <w:marBottom w:val="0"/>
      <w:divBdr>
        <w:top w:val="none" w:sz="0" w:space="0" w:color="auto"/>
        <w:left w:val="none" w:sz="0" w:space="0" w:color="auto"/>
        <w:bottom w:val="none" w:sz="0" w:space="0" w:color="auto"/>
        <w:right w:val="none" w:sz="0" w:space="0" w:color="auto"/>
      </w:divBdr>
      <w:divsChild>
        <w:div w:id="1258322669">
          <w:marLeft w:val="0"/>
          <w:marRight w:val="0"/>
          <w:marTop w:val="0"/>
          <w:marBottom w:val="0"/>
          <w:divBdr>
            <w:top w:val="none" w:sz="0" w:space="0" w:color="auto"/>
            <w:left w:val="none" w:sz="0" w:space="0" w:color="auto"/>
            <w:bottom w:val="none" w:sz="0" w:space="0" w:color="auto"/>
            <w:right w:val="none" w:sz="0" w:space="0" w:color="auto"/>
          </w:divBdr>
        </w:div>
        <w:div w:id="1997564832">
          <w:marLeft w:val="0"/>
          <w:marRight w:val="0"/>
          <w:marTop w:val="0"/>
          <w:marBottom w:val="0"/>
          <w:divBdr>
            <w:top w:val="none" w:sz="0" w:space="0" w:color="auto"/>
            <w:left w:val="none" w:sz="0" w:space="0" w:color="auto"/>
            <w:bottom w:val="none" w:sz="0" w:space="0" w:color="auto"/>
            <w:right w:val="none" w:sz="0" w:space="0" w:color="auto"/>
          </w:divBdr>
        </w:div>
        <w:div w:id="2146853357">
          <w:marLeft w:val="0"/>
          <w:marRight w:val="0"/>
          <w:marTop w:val="0"/>
          <w:marBottom w:val="0"/>
          <w:divBdr>
            <w:top w:val="none" w:sz="0" w:space="0" w:color="auto"/>
            <w:left w:val="none" w:sz="0" w:space="0" w:color="auto"/>
            <w:bottom w:val="none" w:sz="0" w:space="0" w:color="auto"/>
            <w:right w:val="none" w:sz="0" w:space="0" w:color="auto"/>
          </w:divBdr>
        </w:div>
      </w:divsChild>
    </w:div>
    <w:div w:id="1631397975">
      <w:bodyDiv w:val="1"/>
      <w:marLeft w:val="0"/>
      <w:marRight w:val="0"/>
      <w:marTop w:val="0"/>
      <w:marBottom w:val="0"/>
      <w:divBdr>
        <w:top w:val="none" w:sz="0" w:space="0" w:color="auto"/>
        <w:left w:val="none" w:sz="0" w:space="0" w:color="auto"/>
        <w:bottom w:val="none" w:sz="0" w:space="0" w:color="auto"/>
        <w:right w:val="none" w:sz="0" w:space="0" w:color="auto"/>
      </w:divBdr>
    </w:div>
    <w:div w:id="1713112242">
      <w:bodyDiv w:val="1"/>
      <w:marLeft w:val="0"/>
      <w:marRight w:val="0"/>
      <w:marTop w:val="0"/>
      <w:marBottom w:val="0"/>
      <w:divBdr>
        <w:top w:val="none" w:sz="0" w:space="0" w:color="auto"/>
        <w:left w:val="none" w:sz="0" w:space="0" w:color="auto"/>
        <w:bottom w:val="none" w:sz="0" w:space="0" w:color="auto"/>
        <w:right w:val="none" w:sz="0" w:space="0" w:color="auto"/>
      </w:divBdr>
    </w:div>
    <w:div w:id="1725564140">
      <w:bodyDiv w:val="1"/>
      <w:marLeft w:val="0"/>
      <w:marRight w:val="0"/>
      <w:marTop w:val="0"/>
      <w:marBottom w:val="0"/>
      <w:divBdr>
        <w:top w:val="none" w:sz="0" w:space="0" w:color="auto"/>
        <w:left w:val="none" w:sz="0" w:space="0" w:color="auto"/>
        <w:bottom w:val="none" w:sz="0" w:space="0" w:color="auto"/>
        <w:right w:val="none" w:sz="0" w:space="0" w:color="auto"/>
      </w:divBdr>
    </w:div>
    <w:div w:id="1746683407">
      <w:bodyDiv w:val="1"/>
      <w:marLeft w:val="0"/>
      <w:marRight w:val="0"/>
      <w:marTop w:val="0"/>
      <w:marBottom w:val="0"/>
      <w:divBdr>
        <w:top w:val="none" w:sz="0" w:space="0" w:color="auto"/>
        <w:left w:val="none" w:sz="0" w:space="0" w:color="auto"/>
        <w:bottom w:val="none" w:sz="0" w:space="0" w:color="auto"/>
        <w:right w:val="none" w:sz="0" w:space="0" w:color="auto"/>
      </w:divBdr>
    </w:div>
    <w:div w:id="1792239469">
      <w:bodyDiv w:val="1"/>
      <w:marLeft w:val="0"/>
      <w:marRight w:val="0"/>
      <w:marTop w:val="0"/>
      <w:marBottom w:val="0"/>
      <w:divBdr>
        <w:top w:val="none" w:sz="0" w:space="0" w:color="auto"/>
        <w:left w:val="none" w:sz="0" w:space="0" w:color="auto"/>
        <w:bottom w:val="none" w:sz="0" w:space="0" w:color="auto"/>
        <w:right w:val="none" w:sz="0" w:space="0" w:color="auto"/>
      </w:divBdr>
    </w:div>
    <w:div w:id="1876194739">
      <w:bodyDiv w:val="1"/>
      <w:marLeft w:val="0"/>
      <w:marRight w:val="0"/>
      <w:marTop w:val="0"/>
      <w:marBottom w:val="0"/>
      <w:divBdr>
        <w:top w:val="none" w:sz="0" w:space="0" w:color="auto"/>
        <w:left w:val="none" w:sz="0" w:space="0" w:color="auto"/>
        <w:bottom w:val="none" w:sz="0" w:space="0" w:color="auto"/>
        <w:right w:val="none" w:sz="0" w:space="0" w:color="auto"/>
      </w:divBdr>
    </w:div>
    <w:div w:id="1952203176">
      <w:bodyDiv w:val="1"/>
      <w:marLeft w:val="0"/>
      <w:marRight w:val="0"/>
      <w:marTop w:val="0"/>
      <w:marBottom w:val="0"/>
      <w:divBdr>
        <w:top w:val="none" w:sz="0" w:space="0" w:color="auto"/>
        <w:left w:val="none" w:sz="0" w:space="0" w:color="auto"/>
        <w:bottom w:val="none" w:sz="0" w:space="0" w:color="auto"/>
        <w:right w:val="none" w:sz="0" w:space="0" w:color="auto"/>
      </w:divBdr>
    </w:div>
    <w:div w:id="1996956624">
      <w:bodyDiv w:val="1"/>
      <w:marLeft w:val="0"/>
      <w:marRight w:val="0"/>
      <w:marTop w:val="0"/>
      <w:marBottom w:val="0"/>
      <w:divBdr>
        <w:top w:val="none" w:sz="0" w:space="0" w:color="auto"/>
        <w:left w:val="none" w:sz="0" w:space="0" w:color="auto"/>
        <w:bottom w:val="none" w:sz="0" w:space="0" w:color="auto"/>
        <w:right w:val="none" w:sz="0" w:space="0" w:color="auto"/>
      </w:divBdr>
    </w:div>
    <w:div w:id="20969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chart" Target="charts/chart2.xml"/><Relationship Id="rId26" Type="http://schemas.openxmlformats.org/officeDocument/2006/relationships/hyperlink" Target="https://valentin-software.com/en/products/geotsol/" TargetMode="External"/><Relationship Id="rId3" Type="http://schemas.openxmlformats.org/officeDocument/2006/relationships/styles" Target="styles.xml"/><Relationship Id="rId21" Type="http://schemas.openxmlformats.org/officeDocument/2006/relationships/hyperlink" Target="https://www.iea.org/topics/buildings" TargetMode="External"/><Relationship Id="rId7" Type="http://schemas.openxmlformats.org/officeDocument/2006/relationships/endnotes" Target="endnotes.xml"/><Relationship Id="rId12" Type="http://schemas.openxmlformats.org/officeDocument/2006/relationships/hyperlink" Target="https://kpi-ua.translate.goog/en/tef?_x_tr_sl=uk&amp;_x_tr_tl=ru&amp;_x_tr_hl=ru&amp;_x_tr_pto=sc" TargetMode="External"/><Relationship Id="rId17" Type="http://schemas.openxmlformats.org/officeDocument/2006/relationships/chart" Target="charts/chart1.xml"/><Relationship Id="rId25" Type="http://schemas.openxmlformats.org/officeDocument/2006/relationships/hyperlink" Target="http://inmad.vntu.edu.ua/portal/static/16C6EA96-BCB1-4B60-948B-DD62552C9925.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foeeurope.org/sites/default/files/energy_savings/2015/battle-discount-rate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pi-ua.translate.goog/en/tef?_x_tr_sl=uk&amp;_x_tr_tl=ru&amp;_x_tr_hl=ru&amp;_x_tr_pto=sc" TargetMode="External"/><Relationship Id="rId24" Type="http://schemas.openxmlformats.org/officeDocument/2006/relationships/hyperlink" Target="https://doi.org/10.20535/1813-5420.2.2022.261277"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carbonfootprint.com/calculator.aspx" TargetMode="External"/><Relationship Id="rId28" Type="http://schemas.openxmlformats.org/officeDocument/2006/relationships/header" Target="header2.xml"/><Relationship Id="rId10" Type="http://schemas.openxmlformats.org/officeDocument/2006/relationships/hyperlink" Target="https://kpi-ua.translate.goog/en/tef?_x_tr_sl=uk&amp;_x_tr_tl=ru&amp;_x_tr_hl=ru&amp;_x_tr_pto=sc" TargetMode="External"/><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pi-ua.translate.goog/en/tef?_x_tr_sl=uk&amp;_x_tr_tl=ru&amp;_x_tr_hl=ru&amp;_x_tr_pto=sc" TargetMode="External"/><Relationship Id="rId14" Type="http://schemas.openxmlformats.org/officeDocument/2006/relationships/image" Target="media/image3.jpeg"/><Relationship Id="rId22" Type="http://schemas.openxmlformats.org/officeDocument/2006/relationships/hyperlink" Target="https://unisolar.com.ua/en/blog-en/prorahunok-zmenshennya-vikidiv-co2/"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i3\Downloads\&#1058;&#1053;%20&#1074;%20&#1108;&#1074;&#1088;&#1086;%20(1)%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3\Downloads\&#1058;&#1053;%20&#1074;%20&#1108;&#1074;&#1088;&#1086;%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3\Downloads\&#1058;&#1053;%20&#1074;%20&#1108;&#1074;&#1088;&#1086;%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'[ТН в євро (1) (1).xlsx]викиди'!$H$1</c:f>
              <c:strCache>
                <c:ptCount val="1"/>
                <c:pt idx="0">
                  <c:v>Викиди СО2, т</c:v>
                </c:pt>
              </c:strCache>
            </c:strRef>
          </c:tx>
          <c:spPr>
            <a:solidFill>
              <a:schemeClr val="accent1"/>
            </a:solidFill>
            <a:ln>
              <a:noFill/>
            </a:ln>
            <a:effectLst/>
          </c:spPr>
          <c:invertIfNegative val="0"/>
          <c:dPt>
            <c:idx val="1"/>
            <c:invertIfNegative val="0"/>
            <c:bubble3D val="0"/>
            <c:spPr>
              <a:pattFill prst="weave">
                <a:fgClr>
                  <a:schemeClr val="tx1"/>
                </a:fgClr>
                <a:bgClr>
                  <a:schemeClr val="bg1"/>
                </a:bgClr>
              </a:pattFill>
              <a:ln w="25400" cap="sq">
                <a:solidFill>
                  <a:schemeClr val="tx1"/>
                </a:solidFill>
                <a:miter lim="800000"/>
              </a:ln>
              <a:effectLst/>
            </c:spPr>
            <c:extLst>
              <c:ext xmlns:c16="http://schemas.microsoft.com/office/drawing/2014/chart" uri="{C3380CC4-5D6E-409C-BE32-E72D297353CC}">
                <c16:uniqueId val="{00000001-E9E1-4A9F-AE4D-79E15A8F7F3C}"/>
              </c:ext>
            </c:extLst>
          </c:dPt>
          <c:dPt>
            <c:idx val="2"/>
            <c:invertIfNegative val="0"/>
            <c:bubble3D val="0"/>
            <c:spPr>
              <a:pattFill prst="diagBrick">
                <a:fgClr>
                  <a:schemeClr val="tx1"/>
                </a:fgClr>
                <a:bgClr>
                  <a:schemeClr val="bg1"/>
                </a:bgClr>
              </a:pattFill>
              <a:ln w="25400">
                <a:solidFill>
                  <a:schemeClr val="tx1"/>
                </a:solidFill>
                <a:miter lim="800000"/>
              </a:ln>
              <a:effectLst/>
            </c:spPr>
            <c:extLst>
              <c:ext xmlns:c16="http://schemas.microsoft.com/office/drawing/2014/chart" uri="{C3380CC4-5D6E-409C-BE32-E72D297353CC}">
                <c16:uniqueId val="{00000003-E9E1-4A9F-AE4D-79E15A8F7F3C}"/>
              </c:ext>
            </c:extLst>
          </c:dPt>
          <c:dPt>
            <c:idx val="3"/>
            <c:invertIfNegative val="0"/>
            <c:bubble3D val="0"/>
            <c:spPr>
              <a:pattFill prst="pct25">
                <a:fgClr>
                  <a:schemeClr val="tx1"/>
                </a:fgClr>
                <a:bgClr>
                  <a:schemeClr val="bg1"/>
                </a:bgClr>
              </a:pattFill>
              <a:ln w="25400">
                <a:solidFill>
                  <a:schemeClr val="tx1"/>
                </a:solidFill>
                <a:miter lim="800000"/>
              </a:ln>
              <a:effectLst/>
            </c:spPr>
            <c:extLst>
              <c:ext xmlns:c16="http://schemas.microsoft.com/office/drawing/2014/chart" uri="{C3380CC4-5D6E-409C-BE32-E72D297353CC}">
                <c16:uniqueId val="{00000005-E9E1-4A9F-AE4D-79E15A8F7F3C}"/>
              </c:ext>
            </c:extLst>
          </c:dPt>
          <c:dPt>
            <c:idx val="4"/>
            <c:invertIfNegative val="0"/>
            <c:bubble3D val="0"/>
            <c:spPr>
              <a:pattFill prst="weave">
                <a:fgClr>
                  <a:schemeClr val="accent6"/>
                </a:fgClr>
                <a:bgClr>
                  <a:schemeClr val="bg1"/>
                </a:bgClr>
              </a:pattFill>
              <a:ln w="25400">
                <a:solidFill>
                  <a:schemeClr val="accent6"/>
                </a:solidFill>
                <a:miter lim="800000"/>
              </a:ln>
              <a:effectLst/>
            </c:spPr>
            <c:extLst>
              <c:ext xmlns:c16="http://schemas.microsoft.com/office/drawing/2014/chart" uri="{C3380CC4-5D6E-409C-BE32-E72D297353CC}">
                <c16:uniqueId val="{00000007-E9E1-4A9F-AE4D-79E15A8F7F3C}"/>
              </c:ext>
            </c:extLst>
          </c:dPt>
          <c:dPt>
            <c:idx val="5"/>
            <c:invertIfNegative val="0"/>
            <c:bubble3D val="0"/>
            <c:spPr>
              <a:pattFill prst="diagBrick">
                <a:fgClr>
                  <a:schemeClr val="accent6"/>
                </a:fgClr>
                <a:bgClr>
                  <a:schemeClr val="bg1"/>
                </a:bgClr>
              </a:pattFill>
              <a:ln w="25400">
                <a:solidFill>
                  <a:schemeClr val="accent6"/>
                </a:solidFill>
                <a:miter lim="800000"/>
              </a:ln>
              <a:effectLst/>
            </c:spPr>
            <c:extLst>
              <c:ext xmlns:c16="http://schemas.microsoft.com/office/drawing/2014/chart" uri="{C3380CC4-5D6E-409C-BE32-E72D297353CC}">
                <c16:uniqueId val="{00000009-E9E1-4A9F-AE4D-79E15A8F7F3C}"/>
              </c:ext>
            </c:extLst>
          </c:dPt>
          <c:dPt>
            <c:idx val="6"/>
            <c:invertIfNegative val="0"/>
            <c:bubble3D val="0"/>
            <c:spPr>
              <a:pattFill prst="pct25">
                <a:fgClr>
                  <a:schemeClr val="accent6"/>
                </a:fgClr>
                <a:bgClr>
                  <a:schemeClr val="bg1"/>
                </a:bgClr>
              </a:pattFill>
              <a:ln w="25400">
                <a:solidFill>
                  <a:schemeClr val="accent6"/>
                </a:solidFill>
                <a:miter lim="800000"/>
              </a:ln>
              <a:effectLst/>
            </c:spPr>
            <c:extLst>
              <c:ext xmlns:c16="http://schemas.microsoft.com/office/drawing/2014/chart" uri="{C3380CC4-5D6E-409C-BE32-E72D297353CC}">
                <c16:uniqueId val="{0000000B-E9E1-4A9F-AE4D-79E15A8F7F3C}"/>
              </c:ext>
            </c:extLst>
          </c:dPt>
          <c:dPt>
            <c:idx val="7"/>
            <c:invertIfNegative val="0"/>
            <c:bubble3D val="0"/>
            <c:spPr>
              <a:pattFill prst="weave">
                <a:fgClr>
                  <a:srgbClr val="00B050"/>
                </a:fgClr>
                <a:bgClr>
                  <a:schemeClr val="bg1"/>
                </a:bgClr>
              </a:pattFill>
              <a:ln w="25400">
                <a:solidFill>
                  <a:srgbClr val="00B050"/>
                </a:solidFill>
                <a:miter lim="800000"/>
              </a:ln>
              <a:effectLst/>
            </c:spPr>
            <c:extLst>
              <c:ext xmlns:c16="http://schemas.microsoft.com/office/drawing/2014/chart" uri="{C3380CC4-5D6E-409C-BE32-E72D297353CC}">
                <c16:uniqueId val="{0000000D-E9E1-4A9F-AE4D-79E15A8F7F3C}"/>
              </c:ext>
            </c:extLst>
          </c:dPt>
          <c:dPt>
            <c:idx val="8"/>
            <c:invertIfNegative val="0"/>
            <c:bubble3D val="0"/>
            <c:spPr>
              <a:pattFill prst="diagBrick">
                <a:fgClr>
                  <a:srgbClr val="00B050"/>
                </a:fgClr>
                <a:bgClr>
                  <a:schemeClr val="bg1"/>
                </a:bgClr>
              </a:pattFill>
              <a:ln w="25400">
                <a:solidFill>
                  <a:srgbClr val="00B050">
                    <a:alpha val="94000"/>
                  </a:srgbClr>
                </a:solidFill>
                <a:miter lim="800000"/>
              </a:ln>
              <a:effectLst/>
            </c:spPr>
            <c:extLst>
              <c:ext xmlns:c16="http://schemas.microsoft.com/office/drawing/2014/chart" uri="{C3380CC4-5D6E-409C-BE32-E72D297353CC}">
                <c16:uniqueId val="{0000000F-E9E1-4A9F-AE4D-79E15A8F7F3C}"/>
              </c:ext>
            </c:extLst>
          </c:dPt>
          <c:dPt>
            <c:idx val="9"/>
            <c:invertIfNegative val="0"/>
            <c:bubble3D val="0"/>
            <c:spPr>
              <a:pattFill prst="pct25">
                <a:fgClr>
                  <a:srgbClr val="00B050"/>
                </a:fgClr>
                <a:bgClr>
                  <a:schemeClr val="bg1"/>
                </a:bgClr>
              </a:pattFill>
              <a:ln w="25400">
                <a:solidFill>
                  <a:srgbClr val="00B050"/>
                </a:solidFill>
                <a:miter lim="800000"/>
              </a:ln>
              <a:effectLst/>
            </c:spPr>
            <c:extLst>
              <c:ext xmlns:c16="http://schemas.microsoft.com/office/drawing/2014/chart" uri="{C3380CC4-5D6E-409C-BE32-E72D297353CC}">
                <c16:uniqueId val="{00000011-E9E1-4A9F-AE4D-79E15A8F7F3C}"/>
              </c:ext>
            </c:extLst>
          </c:dPt>
          <c:dLbls>
            <c:dLbl>
              <c:idx val="1"/>
              <c:numFmt formatCode="#,##0.0" sourceLinked="0"/>
              <c:spPr>
                <a:solidFill>
                  <a:schemeClr val="bg1"/>
                </a:solidFill>
                <a:ln w="3175">
                  <a:solidFill>
                    <a:schemeClr val="tx1"/>
                  </a:solidFill>
                  <a:miter lim="800000"/>
                </a:ln>
                <a:effectLst/>
              </c:spPr>
              <c:txPr>
                <a:bodyPr rot="-5400000" spcFirstLastPara="1" vertOverflow="ellipsis" horzOverflow="clip" vert="horz" wrap="square" lIns="10800" tIns="3600" rIns="10800" bIns="360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E9E1-4A9F-AE4D-79E15A8F7F3C}"/>
                </c:ext>
              </c:extLst>
            </c:dLbl>
            <c:dLbl>
              <c:idx val="2"/>
              <c:numFmt formatCode="#,##0.0" sourceLinked="0"/>
              <c:spPr>
                <a:solidFill>
                  <a:schemeClr val="bg1"/>
                </a:solidFill>
                <a:ln w="3175">
                  <a:solidFill>
                    <a:schemeClr val="tx1"/>
                  </a:solidFill>
                  <a:miter lim="800000"/>
                </a:ln>
                <a:effectLst/>
              </c:spPr>
              <c:txPr>
                <a:bodyPr rot="-5400000" spcFirstLastPara="1" vertOverflow="ellipsis" horzOverflow="clip" vert="horz" wrap="square" lIns="10800" tIns="3600" rIns="10800" bIns="360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E9E1-4A9F-AE4D-79E15A8F7F3C}"/>
                </c:ext>
              </c:extLst>
            </c:dLbl>
            <c:dLbl>
              <c:idx val="3"/>
              <c:numFmt formatCode="#,##0.0" sourceLinked="0"/>
              <c:spPr>
                <a:solidFill>
                  <a:schemeClr val="bg1"/>
                </a:solidFill>
                <a:ln w="3175">
                  <a:solidFill>
                    <a:schemeClr val="tx1"/>
                  </a:solidFill>
                  <a:miter lim="800000"/>
                </a:ln>
                <a:effectLst/>
              </c:spPr>
              <c:txPr>
                <a:bodyPr rot="-5400000" spcFirstLastPara="1" vertOverflow="ellipsis" horzOverflow="clip" vert="horz" wrap="square" lIns="10800" tIns="3600" rIns="10800" bIns="360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E9E1-4A9F-AE4D-79E15A8F7F3C}"/>
                </c:ext>
              </c:extLst>
            </c:dLbl>
            <c:dLbl>
              <c:idx val="4"/>
              <c:numFmt formatCode="#,##0.0" sourceLinked="0"/>
              <c:spPr>
                <a:solidFill>
                  <a:schemeClr val="bg1"/>
                </a:solidFill>
                <a:ln w="3175">
                  <a:solidFill>
                    <a:schemeClr val="accent6"/>
                  </a:solidFill>
                  <a:miter lim="800000"/>
                </a:ln>
                <a:effectLst/>
              </c:spPr>
              <c:txPr>
                <a:bodyPr rot="-5400000" spcFirstLastPara="1" vertOverflow="ellipsis" horzOverflow="clip" vert="horz" wrap="square" lIns="10800" tIns="3600" rIns="10800" bIns="360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E9E1-4A9F-AE4D-79E15A8F7F3C}"/>
                </c:ext>
              </c:extLst>
            </c:dLbl>
            <c:dLbl>
              <c:idx val="5"/>
              <c:numFmt formatCode="#,##0.0" sourceLinked="0"/>
              <c:spPr>
                <a:solidFill>
                  <a:schemeClr val="bg1"/>
                </a:solidFill>
                <a:ln w="3175">
                  <a:solidFill>
                    <a:schemeClr val="accent6"/>
                  </a:solidFill>
                  <a:miter lim="800000"/>
                </a:ln>
                <a:effectLst/>
              </c:spPr>
              <c:txPr>
                <a:bodyPr rot="-5400000" spcFirstLastPara="1" vertOverflow="ellipsis" horzOverflow="clip" vert="horz" wrap="square" lIns="10800" tIns="3600" rIns="10800" bIns="360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9-E9E1-4A9F-AE4D-79E15A8F7F3C}"/>
                </c:ext>
              </c:extLst>
            </c:dLbl>
            <c:dLbl>
              <c:idx val="6"/>
              <c:numFmt formatCode="#,##0.0" sourceLinked="0"/>
              <c:spPr>
                <a:solidFill>
                  <a:schemeClr val="bg1"/>
                </a:solidFill>
                <a:ln w="3175">
                  <a:solidFill>
                    <a:schemeClr val="accent6"/>
                  </a:solidFill>
                  <a:miter lim="800000"/>
                </a:ln>
                <a:effectLst/>
              </c:spPr>
              <c:txPr>
                <a:bodyPr rot="-5400000" spcFirstLastPara="1" vertOverflow="ellipsis" horzOverflow="clip" vert="horz" wrap="square" lIns="10800" tIns="3600" rIns="10800" bIns="360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B-E9E1-4A9F-AE4D-79E15A8F7F3C}"/>
                </c:ext>
              </c:extLst>
            </c:dLbl>
            <c:numFmt formatCode="#,##0.0" sourceLinked="0"/>
            <c:spPr>
              <a:solidFill>
                <a:schemeClr val="bg1"/>
              </a:solidFill>
              <a:ln w="3175">
                <a:solidFill>
                  <a:srgbClr val="00B050"/>
                </a:solidFill>
                <a:miter lim="800000"/>
              </a:ln>
              <a:effectLst/>
            </c:spPr>
            <c:txPr>
              <a:bodyPr rot="-5400000" spcFirstLastPara="1" vertOverflow="ellipsis" horzOverflow="clip" vert="horz" wrap="square" lIns="10800" tIns="3600" rIns="10800" bIns="360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'[ТН в євро (1) (1).xlsx]викиди'!$A$2:$A$11</c:f>
              <c:strCache>
                <c:ptCount val="10"/>
                <c:pt idx="1">
                  <c:v>І - 1 </c:v>
                </c:pt>
                <c:pt idx="2">
                  <c:v>І - 2</c:v>
                </c:pt>
                <c:pt idx="3">
                  <c:v>І - 1,3</c:v>
                </c:pt>
                <c:pt idx="4">
                  <c:v>ІІ - 1</c:v>
                </c:pt>
                <c:pt idx="5">
                  <c:v>ІІ - 2</c:v>
                </c:pt>
                <c:pt idx="6">
                  <c:v>ІІ - 3</c:v>
                </c:pt>
                <c:pt idx="7">
                  <c:v>ІІІ - 1</c:v>
                </c:pt>
                <c:pt idx="8">
                  <c:v>ІІІ - 2</c:v>
                </c:pt>
                <c:pt idx="9">
                  <c:v>ІІІ - 3</c:v>
                </c:pt>
              </c:strCache>
            </c:strRef>
          </c:cat>
          <c:val>
            <c:numRef>
              <c:f>'[ТН в євро (1) (1).xlsx]викиди'!$H$2:$H$11</c:f>
              <c:numCache>
                <c:formatCode>General</c:formatCode>
                <c:ptCount val="10"/>
                <c:pt idx="1">
                  <c:v>101.77</c:v>
                </c:pt>
                <c:pt idx="2">
                  <c:v>113.42</c:v>
                </c:pt>
                <c:pt idx="3">
                  <c:v>126.3309836355504</c:v>
                </c:pt>
                <c:pt idx="4">
                  <c:v>36.75</c:v>
                </c:pt>
                <c:pt idx="5">
                  <c:v>29.91</c:v>
                </c:pt>
                <c:pt idx="6">
                  <c:v>36.956441360311175</c:v>
                </c:pt>
                <c:pt idx="7">
                  <c:v>27.919999999999995</c:v>
                </c:pt>
                <c:pt idx="8">
                  <c:v>23.43</c:v>
                </c:pt>
                <c:pt idx="9">
                  <c:v>25.606297692705603</c:v>
                </c:pt>
              </c:numCache>
            </c:numRef>
          </c:val>
          <c:extLst>
            <c:ext xmlns:c16="http://schemas.microsoft.com/office/drawing/2014/chart" uri="{C3380CC4-5D6E-409C-BE32-E72D297353CC}">
              <c16:uniqueId val="{00000012-E9E1-4A9F-AE4D-79E15A8F7F3C}"/>
            </c:ext>
          </c:extLst>
        </c:ser>
        <c:dLbls>
          <c:showLegendKey val="0"/>
          <c:showVal val="1"/>
          <c:showCatName val="0"/>
          <c:showSerName val="0"/>
          <c:showPercent val="0"/>
          <c:showBubbleSize val="0"/>
        </c:dLbls>
        <c:gapWidth val="219"/>
        <c:overlap val="-27"/>
        <c:axId val="632370304"/>
        <c:axId val="632371840"/>
      </c:barChart>
      <c:catAx>
        <c:axId val="6323703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632371840"/>
        <c:crosses val="autoZero"/>
        <c:auto val="1"/>
        <c:lblAlgn val="ctr"/>
        <c:lblOffset val="80"/>
        <c:noMultiLvlLbl val="0"/>
      </c:catAx>
      <c:valAx>
        <c:axId val="632371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100">
                    <a:solidFill>
                      <a:sysClr val="windowText" lastClr="000000"/>
                    </a:solidFill>
                    <a:latin typeface="Times New Roman" panose="02020603050405020304" pitchFamily="18" charset="0"/>
                    <a:cs typeface="Times New Roman" panose="02020603050405020304" pitchFamily="18" charset="0"/>
                  </a:rPr>
                  <a:t>CO</a:t>
                </a:r>
                <a:r>
                  <a:rPr lang="fr-FR" sz="1100" baseline="-25000">
                    <a:solidFill>
                      <a:sysClr val="windowText" lastClr="000000"/>
                    </a:solidFill>
                    <a:latin typeface="Times New Roman" panose="02020603050405020304" pitchFamily="18" charset="0"/>
                    <a:cs typeface="Times New Roman" panose="02020603050405020304" pitchFamily="18" charset="0"/>
                  </a:rPr>
                  <a:t>2</a:t>
                </a:r>
                <a:r>
                  <a:rPr lang="fr-FR" sz="1100">
                    <a:solidFill>
                      <a:sysClr val="windowText" lastClr="000000"/>
                    </a:solidFill>
                    <a:latin typeface="Times New Roman" panose="02020603050405020304" pitchFamily="18" charset="0"/>
                    <a:cs typeface="Times New Roman" panose="02020603050405020304" pitchFamily="18" charset="0"/>
                  </a:rPr>
                  <a:t> emissions, tons</a:t>
                </a:r>
                <a:endParaRPr lang="uk-UA"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632370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4460552539236"/>
          <c:y val="1.7793594306049824E-2"/>
          <c:w val="0.86462088812502524"/>
          <c:h val="0.7694618361384078"/>
        </c:manualLayout>
      </c:layout>
      <c:lineChart>
        <c:grouping val="standard"/>
        <c:varyColors val="0"/>
        <c:ser>
          <c:idx val="1"/>
          <c:order val="0"/>
          <c:tx>
            <c:strRef>
              <c:f>'графіки без показн екон млн грн'!$B$1</c:f>
              <c:strCache>
                <c:ptCount val="1"/>
                <c:pt idx="0">
                  <c:v>І-1</c:v>
                </c:pt>
              </c:strCache>
            </c:strRef>
          </c:tx>
          <c:spPr>
            <a:ln w="9525" cap="rnd">
              <a:solidFill>
                <a:schemeClr val="tx1"/>
              </a:solidFill>
              <a:round/>
            </a:ln>
            <a:effectLst/>
          </c:spPr>
          <c:marker>
            <c:symbol val="none"/>
          </c:marker>
          <c:cat>
            <c:numRef>
              <c:f>'графіки без показн екон млн грн'!$A$2:$A$22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без показн екон млн грн'!$B$2:$B$22</c:f>
              <c:numCache>
                <c:formatCode>General</c:formatCode>
                <c:ptCount val="21"/>
                <c:pt idx="0">
                  <c:v>0</c:v>
                </c:pt>
                <c:pt idx="1">
                  <c:v>6.1074307361341548E-2</c:v>
                </c:pt>
                <c:pt idx="2">
                  <c:v>0.12214861472268312</c:v>
                </c:pt>
                <c:pt idx="3">
                  <c:v>0.18322292208402469</c:v>
                </c:pt>
                <c:pt idx="4">
                  <c:v>0.2442972294453663</c:v>
                </c:pt>
                <c:pt idx="5">
                  <c:v>0.30537153680670781</c:v>
                </c:pt>
                <c:pt idx="6">
                  <c:v>0.36644584416804932</c:v>
                </c:pt>
                <c:pt idx="7">
                  <c:v>0.42752015152939082</c:v>
                </c:pt>
                <c:pt idx="8">
                  <c:v>0.48859445889073239</c:v>
                </c:pt>
                <c:pt idx="9">
                  <c:v>0.54966876625207395</c:v>
                </c:pt>
                <c:pt idx="10">
                  <c:v>0.61074307361341607</c:v>
                </c:pt>
                <c:pt idx="11">
                  <c:v>0.67181738097475707</c:v>
                </c:pt>
                <c:pt idx="12">
                  <c:v>0.73289168833609886</c:v>
                </c:pt>
                <c:pt idx="13">
                  <c:v>0.79396599569744009</c:v>
                </c:pt>
                <c:pt idx="14">
                  <c:v>0.85504030305878198</c:v>
                </c:pt>
                <c:pt idx="15">
                  <c:v>0.91611461042012343</c:v>
                </c:pt>
                <c:pt idx="16">
                  <c:v>0.97718891778146477</c:v>
                </c:pt>
                <c:pt idx="17">
                  <c:v>1.0382632251428059</c:v>
                </c:pt>
                <c:pt idx="18">
                  <c:v>1.0993375325041479</c:v>
                </c:pt>
                <c:pt idx="19">
                  <c:v>1.1604118398654899</c:v>
                </c:pt>
                <c:pt idx="20">
                  <c:v>1.221486147226831</c:v>
                </c:pt>
              </c:numCache>
            </c:numRef>
          </c:val>
          <c:smooth val="0"/>
          <c:extLst>
            <c:ext xmlns:c16="http://schemas.microsoft.com/office/drawing/2014/chart" uri="{C3380CC4-5D6E-409C-BE32-E72D297353CC}">
              <c16:uniqueId val="{00000001-82AB-46CA-8D67-3C06BB8134BB}"/>
            </c:ext>
          </c:extLst>
        </c:ser>
        <c:ser>
          <c:idx val="2"/>
          <c:order val="1"/>
          <c:tx>
            <c:strRef>
              <c:f>'графіки без показн екон млн грн'!$C$1</c:f>
              <c:strCache>
                <c:ptCount val="1"/>
                <c:pt idx="0">
                  <c:v>І-2</c:v>
                </c:pt>
              </c:strCache>
            </c:strRef>
          </c:tx>
          <c:spPr>
            <a:ln w="9525" cap="rnd">
              <a:solidFill>
                <a:schemeClr val="tx1"/>
              </a:solidFill>
              <a:prstDash val="sysDash"/>
              <a:round/>
            </a:ln>
            <a:effectLst/>
          </c:spPr>
          <c:marker>
            <c:symbol val="square"/>
            <c:size val="3"/>
            <c:spPr>
              <a:solidFill>
                <a:schemeClr val="tx1"/>
              </a:solidFill>
              <a:ln w="9525">
                <a:solidFill>
                  <a:schemeClr val="tx1"/>
                </a:solidFill>
              </a:ln>
              <a:effectLst/>
            </c:spPr>
          </c:marker>
          <c:cat>
            <c:numRef>
              <c:f>'графіки без показн екон млн грн'!$A$2:$A$22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без показн екон млн грн'!$C$2:$C$22</c:f>
              <c:numCache>
                <c:formatCode>General</c:formatCode>
                <c:ptCount val="21"/>
                <c:pt idx="0">
                  <c:v>2.2386845203060633E-2</c:v>
                </c:pt>
                <c:pt idx="1">
                  <c:v>8.0940648741298651E-2</c:v>
                </c:pt>
                <c:pt idx="2">
                  <c:v>0.13949445227953666</c:v>
                </c:pt>
                <c:pt idx="3">
                  <c:v>0.19804825581777472</c:v>
                </c:pt>
                <c:pt idx="4">
                  <c:v>0.2566020593560126</c:v>
                </c:pt>
                <c:pt idx="5">
                  <c:v>0.31515586289425079</c:v>
                </c:pt>
                <c:pt idx="6">
                  <c:v>0.37370966643248865</c:v>
                </c:pt>
                <c:pt idx="7">
                  <c:v>0.43226346997072662</c:v>
                </c:pt>
                <c:pt idx="8">
                  <c:v>0.49081727350896476</c:v>
                </c:pt>
                <c:pt idx="9">
                  <c:v>0.54937107704720245</c:v>
                </c:pt>
                <c:pt idx="10">
                  <c:v>0.60792488058544081</c:v>
                </c:pt>
                <c:pt idx="11">
                  <c:v>0.66647868412367872</c:v>
                </c:pt>
                <c:pt idx="12">
                  <c:v>0.7250324876619163</c:v>
                </c:pt>
                <c:pt idx="13">
                  <c:v>0.78358629120015399</c:v>
                </c:pt>
                <c:pt idx="14">
                  <c:v>0.84214009473839235</c:v>
                </c:pt>
                <c:pt idx="15">
                  <c:v>0.90069389827663004</c:v>
                </c:pt>
                <c:pt idx="16">
                  <c:v>0.95924770181486807</c:v>
                </c:pt>
                <c:pt idx="17">
                  <c:v>1.0178015053531058</c:v>
                </c:pt>
                <c:pt idx="18">
                  <c:v>1.0763553088913445</c:v>
                </c:pt>
                <c:pt idx="19">
                  <c:v>1.1349091124295818</c:v>
                </c:pt>
                <c:pt idx="20">
                  <c:v>1.1934629159678201</c:v>
                </c:pt>
              </c:numCache>
            </c:numRef>
          </c:val>
          <c:smooth val="0"/>
          <c:extLst>
            <c:ext xmlns:c16="http://schemas.microsoft.com/office/drawing/2014/chart" uri="{C3380CC4-5D6E-409C-BE32-E72D297353CC}">
              <c16:uniqueId val="{00000002-82AB-46CA-8D67-3C06BB8134BB}"/>
            </c:ext>
          </c:extLst>
        </c:ser>
        <c:ser>
          <c:idx val="3"/>
          <c:order val="2"/>
          <c:tx>
            <c:strRef>
              <c:f>'графіки без показн екон млн грн'!$D$1</c:f>
              <c:strCache>
                <c:ptCount val="1"/>
                <c:pt idx="0">
                  <c:v>І-3</c:v>
                </c:pt>
              </c:strCache>
            </c:strRef>
          </c:tx>
          <c:spPr>
            <a:ln w="9525" cap="rnd">
              <a:solidFill>
                <a:schemeClr val="tx1"/>
              </a:solidFill>
              <a:prstDash val="lgDash"/>
              <a:round/>
            </a:ln>
            <a:effectLst/>
          </c:spPr>
          <c:marker>
            <c:symbol val="circle"/>
            <c:size val="3"/>
            <c:spPr>
              <a:solidFill>
                <a:schemeClr val="tx1"/>
              </a:solidFill>
              <a:ln w="9525">
                <a:solidFill>
                  <a:schemeClr val="tx1"/>
                </a:solidFill>
              </a:ln>
              <a:effectLst/>
            </c:spPr>
          </c:marker>
          <c:cat>
            <c:numRef>
              <c:f>'графіки без показн екон млн грн'!$A$2:$A$22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без показн екон млн грн'!$D$2:$D$22</c:f>
              <c:numCache>
                <c:formatCode>General</c:formatCode>
                <c:ptCount val="21"/>
                <c:pt idx="0">
                  <c:v>7.8643643319599763E-2</c:v>
                </c:pt>
                <c:pt idx="1">
                  <c:v>0.11979393691094826</c:v>
                </c:pt>
                <c:pt idx="2">
                  <c:v>0.16094423050229689</c:v>
                </c:pt>
                <c:pt idx="3">
                  <c:v>0.20209452409364517</c:v>
                </c:pt>
                <c:pt idx="4">
                  <c:v>0.24324481768499376</c:v>
                </c:pt>
                <c:pt idx="5">
                  <c:v>0.28439511127634232</c:v>
                </c:pt>
                <c:pt idx="6">
                  <c:v>0.32554540486769074</c:v>
                </c:pt>
                <c:pt idx="7">
                  <c:v>0.3666956984590391</c:v>
                </c:pt>
                <c:pt idx="8">
                  <c:v>0.40784599205038757</c:v>
                </c:pt>
                <c:pt idx="9">
                  <c:v>0.44899628564173599</c:v>
                </c:pt>
                <c:pt idx="10">
                  <c:v>0.49014657923308458</c:v>
                </c:pt>
                <c:pt idx="11">
                  <c:v>0.53129687282443294</c:v>
                </c:pt>
                <c:pt idx="12">
                  <c:v>0.57244716641578164</c:v>
                </c:pt>
                <c:pt idx="13">
                  <c:v>0.61359746000712978</c:v>
                </c:pt>
                <c:pt idx="14">
                  <c:v>0.65474775359847903</c:v>
                </c:pt>
                <c:pt idx="15">
                  <c:v>0.69589804718982695</c:v>
                </c:pt>
                <c:pt idx="16">
                  <c:v>0.73704834078117543</c:v>
                </c:pt>
                <c:pt idx="17">
                  <c:v>0.77819863437252412</c:v>
                </c:pt>
                <c:pt idx="18">
                  <c:v>0.81934892796387226</c:v>
                </c:pt>
                <c:pt idx="19">
                  <c:v>0.86049922155522063</c:v>
                </c:pt>
                <c:pt idx="20">
                  <c:v>0.90164951514656921</c:v>
                </c:pt>
              </c:numCache>
            </c:numRef>
          </c:val>
          <c:smooth val="0"/>
          <c:extLst>
            <c:ext xmlns:c16="http://schemas.microsoft.com/office/drawing/2014/chart" uri="{C3380CC4-5D6E-409C-BE32-E72D297353CC}">
              <c16:uniqueId val="{00000003-82AB-46CA-8D67-3C06BB8134BB}"/>
            </c:ext>
          </c:extLst>
        </c:ser>
        <c:ser>
          <c:idx val="4"/>
          <c:order val="3"/>
          <c:tx>
            <c:strRef>
              <c:f>'графіки без показн екон млн грн'!$E$1</c:f>
              <c:strCache>
                <c:ptCount val="1"/>
                <c:pt idx="0">
                  <c:v>ІІ-1</c:v>
                </c:pt>
              </c:strCache>
            </c:strRef>
          </c:tx>
          <c:spPr>
            <a:ln w="9525" cap="rnd">
              <a:solidFill>
                <a:schemeClr val="accent2"/>
              </a:solidFill>
              <a:round/>
            </a:ln>
            <a:effectLst/>
          </c:spPr>
          <c:marker>
            <c:symbol val="none"/>
          </c:marker>
          <c:cat>
            <c:numRef>
              <c:f>'графіки без показн екон млн грн'!$A$2:$A$22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без показн екон млн грн'!$E$2:$E$22</c:f>
              <c:numCache>
                <c:formatCode>General</c:formatCode>
                <c:ptCount val="21"/>
                <c:pt idx="0">
                  <c:v>0.11226147360800472</c:v>
                </c:pt>
                <c:pt idx="1">
                  <c:v>0.12864357880998012</c:v>
                </c:pt>
                <c:pt idx="2">
                  <c:v>0.14502568401195551</c:v>
                </c:pt>
                <c:pt idx="3">
                  <c:v>0.16140778921393092</c:v>
                </c:pt>
                <c:pt idx="4">
                  <c:v>0.17778989441590642</c:v>
                </c:pt>
                <c:pt idx="5">
                  <c:v>0.1941719996178817</c:v>
                </c:pt>
                <c:pt idx="6">
                  <c:v>0.2105541048198572</c:v>
                </c:pt>
                <c:pt idx="7">
                  <c:v>0.22693621002183267</c:v>
                </c:pt>
                <c:pt idx="8">
                  <c:v>0.24331831522380798</c:v>
                </c:pt>
                <c:pt idx="9">
                  <c:v>0.25970042042578328</c:v>
                </c:pt>
                <c:pt idx="10">
                  <c:v>0.27608252562775892</c:v>
                </c:pt>
                <c:pt idx="11">
                  <c:v>0.2924646308297344</c:v>
                </c:pt>
                <c:pt idx="12">
                  <c:v>0.3088467360317097</c:v>
                </c:pt>
                <c:pt idx="13">
                  <c:v>0.32522884123368517</c:v>
                </c:pt>
                <c:pt idx="14">
                  <c:v>0.34161094643566037</c:v>
                </c:pt>
                <c:pt idx="15">
                  <c:v>0.35799305163763578</c:v>
                </c:pt>
                <c:pt idx="16">
                  <c:v>0.37437515683961137</c:v>
                </c:pt>
                <c:pt idx="17">
                  <c:v>0.39075726204158651</c:v>
                </c:pt>
                <c:pt idx="18">
                  <c:v>0.40713936724356187</c:v>
                </c:pt>
                <c:pt idx="19">
                  <c:v>0.42352147244553728</c:v>
                </c:pt>
                <c:pt idx="20">
                  <c:v>0.43990357764751287</c:v>
                </c:pt>
              </c:numCache>
            </c:numRef>
          </c:val>
          <c:smooth val="0"/>
          <c:extLst>
            <c:ext xmlns:c16="http://schemas.microsoft.com/office/drawing/2014/chart" uri="{C3380CC4-5D6E-409C-BE32-E72D297353CC}">
              <c16:uniqueId val="{00000004-82AB-46CA-8D67-3C06BB8134BB}"/>
            </c:ext>
          </c:extLst>
        </c:ser>
        <c:ser>
          <c:idx val="0"/>
          <c:order val="4"/>
          <c:tx>
            <c:strRef>
              <c:f>'графіки без показн екон млн грн'!$F$1</c:f>
              <c:strCache>
                <c:ptCount val="1"/>
                <c:pt idx="0">
                  <c:v>ІІ-2</c:v>
                </c:pt>
              </c:strCache>
            </c:strRef>
          </c:tx>
          <c:spPr>
            <a:ln w="9525" cap="rnd">
              <a:solidFill>
                <a:schemeClr val="accent2"/>
              </a:solidFill>
              <a:prstDash val="sysDash"/>
              <a:round/>
            </a:ln>
            <a:effectLst/>
          </c:spPr>
          <c:marker>
            <c:symbol val="square"/>
            <c:size val="3"/>
            <c:spPr>
              <a:solidFill>
                <a:schemeClr val="accent2"/>
              </a:solidFill>
              <a:ln w="9525">
                <a:solidFill>
                  <a:schemeClr val="accent2"/>
                </a:solidFill>
              </a:ln>
              <a:effectLst/>
            </c:spPr>
          </c:marker>
          <c:cat>
            <c:numRef>
              <c:f>'графіки без показн екон млн грн'!$A$2:$A$22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без показн екон млн грн'!$F$2:$F$22</c:f>
              <c:numCache>
                <c:formatCode>General</c:formatCode>
                <c:ptCount val="21"/>
                <c:pt idx="0">
                  <c:v>0.11648119108887582</c:v>
                </c:pt>
                <c:pt idx="1">
                  <c:v>0.13521402810543795</c:v>
                </c:pt>
                <c:pt idx="2">
                  <c:v>0.15394686512200004</c:v>
                </c:pt>
                <c:pt idx="3">
                  <c:v>0.17267970213856193</c:v>
                </c:pt>
                <c:pt idx="4">
                  <c:v>0.19141253915512416</c:v>
                </c:pt>
                <c:pt idx="5">
                  <c:v>0.21014537617168616</c:v>
                </c:pt>
                <c:pt idx="6">
                  <c:v>0.22887821318824816</c:v>
                </c:pt>
                <c:pt idx="7">
                  <c:v>0.24761105020481022</c:v>
                </c:pt>
                <c:pt idx="8">
                  <c:v>0.26634388722137231</c:v>
                </c:pt>
                <c:pt idx="9">
                  <c:v>0.28507672423793445</c:v>
                </c:pt>
                <c:pt idx="10">
                  <c:v>0.30380956125449665</c:v>
                </c:pt>
                <c:pt idx="11">
                  <c:v>0.32254239827105857</c:v>
                </c:pt>
                <c:pt idx="12">
                  <c:v>0.3412752352876206</c:v>
                </c:pt>
                <c:pt idx="13">
                  <c:v>0.36000807230418275</c:v>
                </c:pt>
                <c:pt idx="14">
                  <c:v>0.37874090932074483</c:v>
                </c:pt>
                <c:pt idx="15">
                  <c:v>0.39747374633730687</c:v>
                </c:pt>
                <c:pt idx="16">
                  <c:v>0.41620658335386901</c:v>
                </c:pt>
                <c:pt idx="17">
                  <c:v>0.43493942037043082</c:v>
                </c:pt>
                <c:pt idx="18">
                  <c:v>0.45367225738699285</c:v>
                </c:pt>
                <c:pt idx="19">
                  <c:v>0.47240509440355494</c:v>
                </c:pt>
                <c:pt idx="20">
                  <c:v>0.49113793142011686</c:v>
                </c:pt>
              </c:numCache>
            </c:numRef>
          </c:val>
          <c:smooth val="0"/>
          <c:extLst>
            <c:ext xmlns:c16="http://schemas.microsoft.com/office/drawing/2014/chart" uri="{C3380CC4-5D6E-409C-BE32-E72D297353CC}">
              <c16:uniqueId val="{00000005-82AB-46CA-8D67-3C06BB8134BB}"/>
            </c:ext>
          </c:extLst>
        </c:ser>
        <c:ser>
          <c:idx val="5"/>
          <c:order val="5"/>
          <c:tx>
            <c:strRef>
              <c:f>'графіки без показн екон млн грн'!$G$1</c:f>
              <c:strCache>
                <c:ptCount val="1"/>
                <c:pt idx="0">
                  <c:v>ІІ-3</c:v>
                </c:pt>
              </c:strCache>
            </c:strRef>
          </c:tx>
          <c:spPr>
            <a:ln w="9525" cap="rnd">
              <a:solidFill>
                <a:schemeClr val="accent2"/>
              </a:solidFill>
              <a:prstDash val="lgDash"/>
              <a:round/>
            </a:ln>
            <a:effectLst/>
          </c:spPr>
          <c:marker>
            <c:symbol val="circle"/>
            <c:size val="3"/>
            <c:spPr>
              <a:solidFill>
                <a:schemeClr val="accent2"/>
              </a:solidFill>
              <a:ln w="9525">
                <a:solidFill>
                  <a:schemeClr val="accent2"/>
                </a:solidFill>
              </a:ln>
              <a:effectLst/>
            </c:spPr>
          </c:marker>
          <c:cat>
            <c:numRef>
              <c:f>'графіки без показн екон млн грн'!$A$2:$A$22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без показн екон млн грн'!$G$2:$G$22</c:f>
              <c:numCache>
                <c:formatCode>General</c:formatCode>
                <c:ptCount val="21"/>
                <c:pt idx="0">
                  <c:v>0.15360302746321366</c:v>
                </c:pt>
                <c:pt idx="1">
                  <c:v>0.15980022402001179</c:v>
                </c:pt>
                <c:pt idx="2">
                  <c:v>0.16599742057680997</c:v>
                </c:pt>
                <c:pt idx="3">
                  <c:v>0.17219461713360798</c:v>
                </c:pt>
                <c:pt idx="4">
                  <c:v>0.17839181369040621</c:v>
                </c:pt>
                <c:pt idx="5">
                  <c:v>0.18458901024720434</c:v>
                </c:pt>
                <c:pt idx="6">
                  <c:v>0.19078620680400241</c:v>
                </c:pt>
                <c:pt idx="7">
                  <c:v>0.19698340336080059</c:v>
                </c:pt>
                <c:pt idx="8">
                  <c:v>0.20318059991759865</c:v>
                </c:pt>
                <c:pt idx="9">
                  <c:v>0.20937779647439683</c:v>
                </c:pt>
                <c:pt idx="10">
                  <c:v>0.21557499303119496</c:v>
                </c:pt>
                <c:pt idx="11">
                  <c:v>0.22177218958799313</c:v>
                </c:pt>
                <c:pt idx="12">
                  <c:v>0.22796938614479129</c:v>
                </c:pt>
                <c:pt idx="13">
                  <c:v>0.23416658270158927</c:v>
                </c:pt>
                <c:pt idx="14">
                  <c:v>0.24036377925838737</c:v>
                </c:pt>
                <c:pt idx="15">
                  <c:v>0.24656097581518557</c:v>
                </c:pt>
                <c:pt idx="16">
                  <c:v>0.25275817237198367</c:v>
                </c:pt>
                <c:pt idx="17">
                  <c:v>0.25895536892878185</c:v>
                </c:pt>
                <c:pt idx="18">
                  <c:v>0.26515256548557992</c:v>
                </c:pt>
                <c:pt idx="19">
                  <c:v>0.27134976204237815</c:v>
                </c:pt>
                <c:pt idx="20">
                  <c:v>0.27754695859917616</c:v>
                </c:pt>
              </c:numCache>
            </c:numRef>
          </c:val>
          <c:smooth val="0"/>
          <c:extLst>
            <c:ext xmlns:c16="http://schemas.microsoft.com/office/drawing/2014/chart" uri="{C3380CC4-5D6E-409C-BE32-E72D297353CC}">
              <c16:uniqueId val="{00000006-82AB-46CA-8D67-3C06BB8134BB}"/>
            </c:ext>
          </c:extLst>
        </c:ser>
        <c:ser>
          <c:idx val="6"/>
          <c:order val="6"/>
          <c:tx>
            <c:strRef>
              <c:f>'графіки без показн екон млн грн'!$H$1</c:f>
              <c:strCache>
                <c:ptCount val="1"/>
                <c:pt idx="0">
                  <c:v>ІІІ-1</c:v>
                </c:pt>
              </c:strCache>
            </c:strRef>
          </c:tx>
          <c:spPr>
            <a:ln w="9525" cap="rnd">
              <a:solidFill>
                <a:srgbClr val="00B050"/>
              </a:solidFill>
              <a:round/>
            </a:ln>
            <a:effectLst/>
          </c:spPr>
          <c:marker>
            <c:symbol val="none"/>
          </c:marker>
          <c:cat>
            <c:numRef>
              <c:f>'графіки без показн екон млн грн'!$A$2:$A$22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без показн екон млн грн'!$H$2:$H$22</c:f>
              <c:numCache>
                <c:formatCode>General</c:formatCode>
                <c:ptCount val="21"/>
                <c:pt idx="0">
                  <c:v>0.15586044434284879</c:v>
                </c:pt>
                <c:pt idx="1">
                  <c:v>0.16618703916624791</c:v>
                </c:pt>
                <c:pt idx="2">
                  <c:v>0.17651363398964703</c:v>
                </c:pt>
                <c:pt idx="3">
                  <c:v>0.18684022881304621</c:v>
                </c:pt>
                <c:pt idx="4">
                  <c:v>0.19716682363644533</c:v>
                </c:pt>
                <c:pt idx="5">
                  <c:v>0.20749341845984454</c:v>
                </c:pt>
                <c:pt idx="6">
                  <c:v>0.21782001328324363</c:v>
                </c:pt>
                <c:pt idx="7">
                  <c:v>0.22814660810664278</c:v>
                </c:pt>
                <c:pt idx="8">
                  <c:v>0.23847320293004193</c:v>
                </c:pt>
                <c:pt idx="9">
                  <c:v>0.24879979775344119</c:v>
                </c:pt>
                <c:pt idx="10">
                  <c:v>0.25912639257684039</c:v>
                </c:pt>
                <c:pt idx="11">
                  <c:v>0.26945298740023937</c:v>
                </c:pt>
                <c:pt idx="12">
                  <c:v>0.27977958222363852</c:v>
                </c:pt>
                <c:pt idx="13">
                  <c:v>0.29010617704703784</c:v>
                </c:pt>
                <c:pt idx="14">
                  <c:v>0.30043277187043693</c:v>
                </c:pt>
                <c:pt idx="15">
                  <c:v>0.31075936669383597</c:v>
                </c:pt>
                <c:pt idx="16">
                  <c:v>0.32108596151723545</c:v>
                </c:pt>
                <c:pt idx="17">
                  <c:v>0.33141255634063443</c:v>
                </c:pt>
                <c:pt idx="18">
                  <c:v>0.34173915116403336</c:v>
                </c:pt>
                <c:pt idx="19">
                  <c:v>0.35206574598743273</c:v>
                </c:pt>
                <c:pt idx="20">
                  <c:v>0.36239234081083188</c:v>
                </c:pt>
              </c:numCache>
            </c:numRef>
          </c:val>
          <c:smooth val="0"/>
          <c:extLst>
            <c:ext xmlns:c16="http://schemas.microsoft.com/office/drawing/2014/chart" uri="{C3380CC4-5D6E-409C-BE32-E72D297353CC}">
              <c16:uniqueId val="{00000007-82AB-46CA-8D67-3C06BB8134BB}"/>
            </c:ext>
          </c:extLst>
        </c:ser>
        <c:ser>
          <c:idx val="7"/>
          <c:order val="7"/>
          <c:tx>
            <c:strRef>
              <c:f>'графіки без показн екон млн грн'!$I$1</c:f>
              <c:strCache>
                <c:ptCount val="1"/>
                <c:pt idx="0">
                  <c:v>ІІІ-2</c:v>
                </c:pt>
              </c:strCache>
            </c:strRef>
          </c:tx>
          <c:spPr>
            <a:ln w="9525" cap="rnd">
              <a:solidFill>
                <a:srgbClr val="00B050"/>
              </a:solidFill>
              <a:prstDash val="sysDash"/>
              <a:round/>
            </a:ln>
            <a:effectLst/>
          </c:spPr>
          <c:marker>
            <c:symbol val="square"/>
            <c:size val="3"/>
            <c:spPr>
              <a:solidFill>
                <a:srgbClr val="00B050"/>
              </a:solidFill>
              <a:ln w="9525">
                <a:solidFill>
                  <a:srgbClr val="00B050"/>
                </a:solidFill>
              </a:ln>
              <a:effectLst/>
            </c:spPr>
          </c:marker>
          <c:cat>
            <c:numRef>
              <c:f>'графіки без показн екон млн грн'!$A$2:$A$22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без показн екон млн грн'!$I$2:$I$22</c:f>
              <c:numCache>
                <c:formatCode>General</c:formatCode>
                <c:ptCount val="21"/>
                <c:pt idx="0">
                  <c:v>0.16512465858652148</c:v>
                </c:pt>
                <c:pt idx="1">
                  <c:v>0.17722172528164418</c:v>
                </c:pt>
                <c:pt idx="2">
                  <c:v>0.18931879197676699</c:v>
                </c:pt>
                <c:pt idx="3">
                  <c:v>0.20141585867188969</c:v>
                </c:pt>
                <c:pt idx="4">
                  <c:v>0.21351292536701241</c:v>
                </c:pt>
                <c:pt idx="5">
                  <c:v>0.22560999206213514</c:v>
                </c:pt>
                <c:pt idx="6">
                  <c:v>0.23770705875725784</c:v>
                </c:pt>
                <c:pt idx="7">
                  <c:v>0.24980412545238057</c:v>
                </c:pt>
                <c:pt idx="8">
                  <c:v>0.26190119214750335</c:v>
                </c:pt>
                <c:pt idx="9">
                  <c:v>0.27399825884262596</c:v>
                </c:pt>
                <c:pt idx="10">
                  <c:v>0.2860953255377488</c:v>
                </c:pt>
                <c:pt idx="11">
                  <c:v>0.29819239223287153</c:v>
                </c:pt>
                <c:pt idx="12">
                  <c:v>0.31028945892799431</c:v>
                </c:pt>
                <c:pt idx="13">
                  <c:v>0.32238652562311715</c:v>
                </c:pt>
                <c:pt idx="14">
                  <c:v>0.33448359231823988</c:v>
                </c:pt>
                <c:pt idx="15">
                  <c:v>0.34658065901336255</c:v>
                </c:pt>
                <c:pt idx="16">
                  <c:v>0.35867772570848527</c:v>
                </c:pt>
                <c:pt idx="17">
                  <c:v>0.37077479240360806</c:v>
                </c:pt>
                <c:pt idx="18">
                  <c:v>0.38287185909873084</c:v>
                </c:pt>
                <c:pt idx="19">
                  <c:v>0.39496892579385373</c:v>
                </c:pt>
                <c:pt idx="20">
                  <c:v>0.40706599248897618</c:v>
                </c:pt>
              </c:numCache>
            </c:numRef>
          </c:val>
          <c:smooth val="0"/>
          <c:extLst>
            <c:ext xmlns:c16="http://schemas.microsoft.com/office/drawing/2014/chart" uri="{C3380CC4-5D6E-409C-BE32-E72D297353CC}">
              <c16:uniqueId val="{00000008-82AB-46CA-8D67-3C06BB8134BB}"/>
            </c:ext>
          </c:extLst>
        </c:ser>
        <c:ser>
          <c:idx val="8"/>
          <c:order val="8"/>
          <c:tx>
            <c:strRef>
              <c:f>'графіки без показн екон млн грн'!$J$1</c:f>
              <c:strCache>
                <c:ptCount val="1"/>
                <c:pt idx="0">
                  <c:v>ІІІ-3</c:v>
                </c:pt>
              </c:strCache>
            </c:strRef>
          </c:tx>
          <c:spPr>
            <a:ln w="9525" cap="rnd">
              <a:solidFill>
                <a:srgbClr val="00B050"/>
              </a:solidFill>
              <a:prstDash val="lgDash"/>
              <a:round/>
            </a:ln>
            <a:effectLst/>
          </c:spPr>
          <c:marker>
            <c:symbol val="circle"/>
            <c:size val="3"/>
            <c:spPr>
              <a:solidFill>
                <a:srgbClr val="00B050"/>
              </a:solidFill>
              <a:ln w="9525">
                <a:solidFill>
                  <a:srgbClr val="00B050"/>
                </a:solidFill>
              </a:ln>
              <a:effectLst/>
            </c:spPr>
          </c:marker>
          <c:cat>
            <c:numRef>
              <c:f>'графіки без показн екон млн грн'!$A$2:$A$22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без показн екон млн грн'!$J$2:$J$22</c:f>
              <c:numCache>
                <c:formatCode>General</c:formatCode>
                <c:ptCount val="21"/>
                <c:pt idx="0">
                  <c:v>0.20374299290082412</c:v>
                </c:pt>
                <c:pt idx="1">
                  <c:v>0.20852968189434973</c:v>
                </c:pt>
                <c:pt idx="2">
                  <c:v>0.21331637088787533</c:v>
                </c:pt>
                <c:pt idx="3">
                  <c:v>0.21810305988140094</c:v>
                </c:pt>
                <c:pt idx="4">
                  <c:v>0.22288974887492644</c:v>
                </c:pt>
                <c:pt idx="5">
                  <c:v>0.22767643786845204</c:v>
                </c:pt>
                <c:pt idx="6">
                  <c:v>0.23246312686197773</c:v>
                </c:pt>
                <c:pt idx="7">
                  <c:v>0.23724981585550331</c:v>
                </c:pt>
                <c:pt idx="8">
                  <c:v>0.24203650484902892</c:v>
                </c:pt>
                <c:pt idx="9">
                  <c:v>0.24682319384255449</c:v>
                </c:pt>
                <c:pt idx="10">
                  <c:v>0.25160988283608005</c:v>
                </c:pt>
                <c:pt idx="11">
                  <c:v>0.25639657182960596</c:v>
                </c:pt>
                <c:pt idx="12">
                  <c:v>0.26118326082313126</c:v>
                </c:pt>
                <c:pt idx="13">
                  <c:v>0.265969949816657</c:v>
                </c:pt>
                <c:pt idx="14">
                  <c:v>0.27075663881018236</c:v>
                </c:pt>
                <c:pt idx="15">
                  <c:v>0.27554332780370805</c:v>
                </c:pt>
                <c:pt idx="16">
                  <c:v>0.28033001679723368</c:v>
                </c:pt>
                <c:pt idx="17">
                  <c:v>0.28511670579075937</c:v>
                </c:pt>
                <c:pt idx="18">
                  <c:v>0.2899033947842849</c:v>
                </c:pt>
                <c:pt idx="19">
                  <c:v>0.29469008377781042</c:v>
                </c:pt>
                <c:pt idx="20">
                  <c:v>0.299476772771336</c:v>
                </c:pt>
              </c:numCache>
            </c:numRef>
          </c:val>
          <c:smooth val="0"/>
          <c:extLst>
            <c:ext xmlns:c16="http://schemas.microsoft.com/office/drawing/2014/chart" uri="{C3380CC4-5D6E-409C-BE32-E72D297353CC}">
              <c16:uniqueId val="{00000009-82AB-46CA-8D67-3C06BB8134BB}"/>
            </c:ext>
          </c:extLst>
        </c:ser>
        <c:dLbls>
          <c:showLegendKey val="0"/>
          <c:showVal val="0"/>
          <c:showCatName val="0"/>
          <c:showSerName val="0"/>
          <c:showPercent val="0"/>
          <c:showBubbleSize val="0"/>
        </c:dLbls>
        <c:smooth val="0"/>
        <c:axId val="664464384"/>
        <c:axId val="637043840"/>
      </c:lineChart>
      <c:catAx>
        <c:axId val="66446438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t>Years</a:t>
                </a:r>
                <a:endParaRPr lang="uk-UA" sz="1100"/>
              </a:p>
            </c:rich>
          </c:tx>
          <c:layout>
            <c:manualLayout>
              <c:xMode val="edge"/>
              <c:yMode val="edge"/>
              <c:x val="0.50282152230971155"/>
              <c:y val="0.8738434818289223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637043840"/>
        <c:crossesAt val="0"/>
        <c:auto val="1"/>
        <c:lblAlgn val="ctr"/>
        <c:lblOffset val="100"/>
        <c:noMultiLvlLbl val="0"/>
      </c:catAx>
      <c:valAx>
        <c:axId val="637043840"/>
        <c:scaling>
          <c:orientation val="minMax"/>
          <c:max val="0.70000000000000029"/>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100"/>
                  <a:t>Integral value (</a:t>
                </a:r>
                <a:r>
                  <a:rPr lang="fr-F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EUR thousand</a:t>
                </a:r>
                <a:r>
                  <a:rPr lang="fr-FR" sz="1100"/>
                  <a:t>)</a:t>
                </a:r>
              </a:p>
            </c:rich>
          </c:tx>
          <c:layout>
            <c:manualLayout>
              <c:xMode val="edge"/>
              <c:yMode val="edge"/>
              <c:x val="2.2870467084471599E-3"/>
              <c:y val="0.1462491757495830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664464384"/>
        <c:crosses val="autoZero"/>
        <c:crossBetween val="between"/>
        <c:majorUnit val="0.35000000000000014"/>
      </c:valAx>
      <c:spPr>
        <a:noFill/>
        <a:ln>
          <a:noFill/>
        </a:ln>
        <a:effectLst/>
      </c:spPr>
    </c:plotArea>
    <c:legend>
      <c:legendPos val="b"/>
      <c:layout>
        <c:manualLayout>
          <c:xMode val="edge"/>
          <c:yMode val="edge"/>
          <c:x val="7.0195230869627744E-3"/>
          <c:y val="0.93311637727458763"/>
          <c:w val="0.99298047691303748"/>
          <c:h val="6.6883622725412553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05302126933705"/>
          <c:y val="2.8672316384180798E-2"/>
          <c:w val="0.8300102508645647"/>
          <c:h val="0.7760433070866144"/>
        </c:manualLayout>
      </c:layout>
      <c:lineChart>
        <c:grouping val="standard"/>
        <c:varyColors val="0"/>
        <c:ser>
          <c:idx val="1"/>
          <c:order val="0"/>
          <c:tx>
            <c:strRef>
              <c:f>'графіки з показн екон млн'!$B$1</c:f>
              <c:strCache>
                <c:ptCount val="1"/>
                <c:pt idx="0">
                  <c:v>І-1</c:v>
                </c:pt>
              </c:strCache>
            </c:strRef>
          </c:tx>
          <c:spPr>
            <a:ln w="9525" cap="rnd">
              <a:solidFill>
                <a:schemeClr val="tx1"/>
              </a:solidFill>
              <a:round/>
            </a:ln>
            <a:effectLst/>
          </c:spPr>
          <c:marker>
            <c:symbol val="none"/>
          </c:marker>
          <c:cat>
            <c:numRef>
              <c:f>'графіки з показн екон млн'!$A$2:$A$22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з показн екон млн'!$B$2:$B$22</c:f>
              <c:numCache>
                <c:formatCode>General</c:formatCode>
                <c:ptCount val="21"/>
                <c:pt idx="0">
                  <c:v>0</c:v>
                </c:pt>
                <c:pt idx="1">
                  <c:v>5.987865391581991E-2</c:v>
                </c:pt>
                <c:pt idx="2">
                  <c:v>0.11853703564995158</c:v>
                </c:pt>
                <c:pt idx="3">
                  <c:v>0.17595558234007105</c:v>
                </c:pt>
                <c:pt idx="4">
                  <c:v>0.23211936131070066</c:v>
                </c:pt>
                <c:pt idx="5">
                  <c:v>0.28701767346326551</c:v>
                </c:pt>
                <c:pt idx="6">
                  <c:v>0.34064368393923516</c:v>
                </c:pt>
                <c:pt idx="7">
                  <c:v>0.392994078358257</c:v>
                </c:pt>
                <c:pt idx="8">
                  <c:v>0.44406874303306482</c:v>
                </c:pt>
                <c:pt idx="9">
                  <c:v>0.49387046765716963</c:v>
                </c:pt>
                <c:pt idx="10">
                  <c:v>0.54240466905019569</c:v>
                </c:pt>
                <c:pt idx="11">
                  <c:v>0.58967913462956179</c:v>
                </c:pt>
                <c:pt idx="12">
                  <c:v>0.63570378435622055</c:v>
                </c:pt>
                <c:pt idx="13">
                  <c:v>0.68049044997673591</c:v>
                </c:pt>
                <c:pt idx="14">
                  <c:v>0.72405267045421784</c:v>
                </c:pt>
                <c:pt idx="15">
                  <c:v>0.76640550254691264</c:v>
                </c:pt>
                <c:pt idx="16">
                  <c:v>0.80756534555569037</c:v>
                </c:pt>
                <c:pt idx="17">
                  <c:v>0.84754977932053255</c:v>
                </c:pt>
                <c:pt idx="18">
                  <c:v>0.88637741460161223</c:v>
                </c:pt>
                <c:pt idx="19">
                  <c:v>0.92406775503283722</c:v>
                </c:pt>
                <c:pt idx="20">
                  <c:v>0.96064106988498532</c:v>
                </c:pt>
              </c:numCache>
            </c:numRef>
          </c:val>
          <c:smooth val="0"/>
          <c:extLst>
            <c:ext xmlns:c16="http://schemas.microsoft.com/office/drawing/2014/chart" uri="{C3380CC4-5D6E-409C-BE32-E72D297353CC}">
              <c16:uniqueId val="{00000001-B97D-4F22-83FA-DDB8F3EDB522}"/>
            </c:ext>
          </c:extLst>
        </c:ser>
        <c:ser>
          <c:idx val="2"/>
          <c:order val="1"/>
          <c:tx>
            <c:strRef>
              <c:f>'графіки з показн екон млн'!$C$1</c:f>
              <c:strCache>
                <c:ptCount val="1"/>
                <c:pt idx="0">
                  <c:v>І-2</c:v>
                </c:pt>
              </c:strCache>
            </c:strRef>
          </c:tx>
          <c:spPr>
            <a:ln w="9525" cap="rnd">
              <a:solidFill>
                <a:schemeClr val="tx1"/>
              </a:solidFill>
              <a:prstDash val="sysDash"/>
              <a:round/>
            </a:ln>
            <a:effectLst/>
          </c:spPr>
          <c:marker>
            <c:symbol val="square"/>
            <c:size val="3"/>
            <c:spPr>
              <a:solidFill>
                <a:schemeClr val="tx1"/>
              </a:solidFill>
              <a:ln w="9525">
                <a:solidFill>
                  <a:schemeClr val="tx1"/>
                </a:solidFill>
              </a:ln>
              <a:effectLst/>
            </c:spPr>
          </c:marker>
          <c:cat>
            <c:numRef>
              <c:f>'графіки з показн екон млн'!$A$2:$A$22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з показн екон млн'!$C$2:$C$22</c:f>
              <c:numCache>
                <c:formatCode>General</c:formatCode>
                <c:ptCount val="21"/>
                <c:pt idx="0">
                  <c:v>2.2386845203060633E-2</c:v>
                </c:pt>
                <c:pt idx="1">
                  <c:v>7.9263674643737611E-2</c:v>
                </c:pt>
                <c:pt idx="2">
                  <c:v>0.13449046674095635</c:v>
                </c:pt>
                <c:pt idx="3">
                  <c:v>0.18809539550601975</c:v>
                </c:pt>
                <c:pt idx="4">
                  <c:v>0.24010769329233653</c:v>
                </c:pt>
                <c:pt idx="5">
                  <c:v>0.29055748611428855</c:v>
                </c:pt>
                <c:pt idx="6">
                  <c:v>0.33947564225014554</c:v>
                </c:pt>
                <c:pt idx="7">
                  <c:v>0.38689363323730885</c:v>
                </c:pt>
                <c:pt idx="8">
                  <c:v>0.43284340642296498</c:v>
                </c:pt>
                <c:pt idx="9">
                  <c:v>0.47735726828483804</c:v>
                </c:pt>
                <c:pt idx="10">
                  <c:v>0.52046777778531539</c:v>
                </c:pt>
                <c:pt idx="11">
                  <c:v>0.5622076490679736</c:v>
                </c:pt>
                <c:pt idx="12">
                  <c:v>0.60260966284856765</c:v>
                </c:pt>
                <c:pt idx="13">
                  <c:v>0.6417065858930916</c:v>
                </c:pt>
                <c:pt idx="14">
                  <c:v>0.67953109801364264</c:v>
                </c:pt>
                <c:pt idx="15">
                  <c:v>0.71611572604868412</c:v>
                </c:pt>
                <c:pt idx="16">
                  <c:v>0.75149278432808142</c:v>
                </c:pt>
                <c:pt idx="17">
                  <c:v>0.7856943211550137</c:v>
                </c:pt>
                <c:pt idx="18">
                  <c:v>0.81875207086672441</c:v>
                </c:pt>
                <c:pt idx="19">
                  <c:v>0.85069741106414876</c:v>
                </c:pt>
                <c:pt idx="20">
                  <c:v>0.88156132462685066</c:v>
                </c:pt>
              </c:numCache>
            </c:numRef>
          </c:val>
          <c:smooth val="0"/>
          <c:extLst>
            <c:ext xmlns:c16="http://schemas.microsoft.com/office/drawing/2014/chart" uri="{C3380CC4-5D6E-409C-BE32-E72D297353CC}">
              <c16:uniqueId val="{00000002-B97D-4F22-83FA-DDB8F3EDB522}"/>
            </c:ext>
          </c:extLst>
        </c:ser>
        <c:ser>
          <c:idx val="3"/>
          <c:order val="2"/>
          <c:tx>
            <c:strRef>
              <c:f>'графіки з показн екон млн'!$D$1</c:f>
              <c:strCache>
                <c:ptCount val="1"/>
                <c:pt idx="0">
                  <c:v>І-1,3</c:v>
                </c:pt>
              </c:strCache>
            </c:strRef>
          </c:tx>
          <c:spPr>
            <a:ln w="9525" cap="rnd">
              <a:solidFill>
                <a:schemeClr val="tx1"/>
              </a:solidFill>
              <a:prstDash val="lgDash"/>
              <a:round/>
            </a:ln>
            <a:effectLst/>
          </c:spPr>
          <c:marker>
            <c:symbol val="circle"/>
            <c:size val="3"/>
            <c:spPr>
              <a:solidFill>
                <a:schemeClr val="tx1"/>
              </a:solidFill>
              <a:ln w="9525">
                <a:solidFill>
                  <a:schemeClr val="tx1"/>
                </a:solidFill>
              </a:ln>
              <a:effectLst/>
            </c:spPr>
          </c:marker>
          <c:cat>
            <c:numRef>
              <c:f>'графіки з показн екон млн'!$A$2:$A$22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з показн екон млн'!$D$2:$D$22</c:f>
              <c:numCache>
                <c:formatCode>General</c:formatCode>
                <c:ptCount val="21"/>
                <c:pt idx="0">
                  <c:v>7.8643643319599763E-2</c:v>
                </c:pt>
                <c:pt idx="1">
                  <c:v>0.11900182590238076</c:v>
                </c:pt>
                <c:pt idx="2">
                  <c:v>0.15855002529693094</c:v>
                </c:pt>
                <c:pt idx="3">
                  <c:v>0.19727386760602333</c:v>
                </c:pt>
                <c:pt idx="4">
                  <c:v>0.23516218457159613</c:v>
                </c:pt>
                <c:pt idx="5">
                  <c:v>0.27220674086965535</c:v>
                </c:pt>
                <c:pt idx="6">
                  <c:v>0.30840198010806941</c:v>
                </c:pt>
                <c:pt idx="7">
                  <c:v>0.34374478836440542</c:v>
                </c:pt>
                <c:pt idx="8">
                  <c:v>0.37823427416929567</c:v>
                </c:pt>
                <c:pt idx="9">
                  <c:v>0.41187156390529001</c:v>
                </c:pt>
                <c:pt idx="10">
                  <c:v>0.44465961165195411</c:v>
                </c:pt>
                <c:pt idx="11">
                  <c:v>0.47660302256533366</c:v>
                </c:pt>
                <c:pt idx="12">
                  <c:v>0.50770788893398033</c:v>
                </c:pt>
                <c:pt idx="13">
                  <c:v>0.53798163810475441</c:v>
                </c:pt>
                <c:pt idx="14">
                  <c:v>0.56743289151970067</c:v>
                </c:pt>
                <c:pt idx="15">
                  <c:v>0.59607133415064251</c:v>
                </c:pt>
                <c:pt idx="16">
                  <c:v>0.62390759366087634</c:v>
                </c:pt>
                <c:pt idx="17">
                  <c:v>0.6509531286636403</c:v>
                </c:pt>
                <c:pt idx="18">
                  <c:v>0.67722012548502042</c:v>
                </c:pt>
                <c:pt idx="19">
                  <c:v>0.70272140287471152</c:v>
                </c:pt>
                <c:pt idx="20">
                  <c:v>0.72747032414180468</c:v>
                </c:pt>
              </c:numCache>
            </c:numRef>
          </c:val>
          <c:smooth val="0"/>
          <c:extLst>
            <c:ext xmlns:c16="http://schemas.microsoft.com/office/drawing/2014/chart" uri="{C3380CC4-5D6E-409C-BE32-E72D297353CC}">
              <c16:uniqueId val="{00000003-B97D-4F22-83FA-DDB8F3EDB522}"/>
            </c:ext>
          </c:extLst>
        </c:ser>
        <c:ser>
          <c:idx val="4"/>
          <c:order val="3"/>
          <c:tx>
            <c:strRef>
              <c:f>'графіки з показн екон млн'!$E$1</c:f>
              <c:strCache>
                <c:ptCount val="1"/>
                <c:pt idx="0">
                  <c:v>ІІ-1</c:v>
                </c:pt>
              </c:strCache>
            </c:strRef>
          </c:tx>
          <c:spPr>
            <a:ln w="9525" cap="rnd">
              <a:solidFill>
                <a:schemeClr val="accent2"/>
              </a:solidFill>
              <a:round/>
            </a:ln>
            <a:effectLst/>
          </c:spPr>
          <c:marker>
            <c:symbol val="none"/>
          </c:marker>
          <c:cat>
            <c:numRef>
              <c:f>'графіки з показн екон млн'!$A$2:$A$22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з показн екон млн'!$E$2:$E$22</c:f>
              <c:numCache>
                <c:formatCode>General</c:formatCode>
                <c:ptCount val="21"/>
                <c:pt idx="0">
                  <c:v>0.11226147360800472</c:v>
                </c:pt>
                <c:pt idx="1">
                  <c:v>0.12832541392320462</c:v>
                </c:pt>
                <c:pt idx="2">
                  <c:v>0.14406434313857377</c:v>
                </c:pt>
                <c:pt idx="3">
                  <c:v>0.15947278852367594</c:v>
                </c:pt>
                <c:pt idx="4">
                  <c:v>0.17454653554711871</c:v>
                </c:pt>
                <c:pt idx="5">
                  <c:v>0.18928252045789179</c:v>
                </c:pt>
                <c:pt idx="6">
                  <c:v>0.20367873024399688</c:v>
                </c:pt>
                <c:pt idx="7">
                  <c:v>0.21773410950934632</c:v>
                </c:pt>
                <c:pt idx="8">
                  <c:v>0.23144847383690056</c:v>
                </c:pt>
                <c:pt idx="9">
                  <c:v>0.24482242923147141</c:v>
                </c:pt>
                <c:pt idx="10">
                  <c:v>0.25785729725963014</c:v>
                </c:pt>
                <c:pt idx="11">
                  <c:v>0.27055504552680626</c:v>
                </c:pt>
                <c:pt idx="12">
                  <c:v>0.28291822315303045</c:v>
                </c:pt>
                <c:pt idx="13">
                  <c:v>0.29494990092889789</c:v>
                </c:pt>
                <c:pt idx="14">
                  <c:v>0.30665361585234258</c:v>
                </c:pt>
                <c:pt idx="15">
                  <c:v>0.31803331976469296</c:v>
                </c:pt>
                <c:pt idx="16">
                  <c:v>0.32909333182137435</c:v>
                </c:pt>
                <c:pt idx="17">
                  <c:v>0.33983829454852216</c:v>
                </c:pt>
                <c:pt idx="18">
                  <c:v>0.35027313325176834</c:v>
                </c:pt>
                <c:pt idx="19">
                  <c:v>0.36040301855759083</c:v>
                </c:pt>
                <c:pt idx="20">
                  <c:v>0.37023333188092972</c:v>
                </c:pt>
              </c:numCache>
            </c:numRef>
          </c:val>
          <c:smooth val="0"/>
          <c:extLst>
            <c:ext xmlns:c16="http://schemas.microsoft.com/office/drawing/2014/chart" uri="{C3380CC4-5D6E-409C-BE32-E72D297353CC}">
              <c16:uniqueId val="{00000004-B97D-4F22-83FA-DDB8F3EDB522}"/>
            </c:ext>
          </c:extLst>
        </c:ser>
        <c:ser>
          <c:idx val="0"/>
          <c:order val="4"/>
          <c:tx>
            <c:strRef>
              <c:f>'графіки з показн екон млн'!$F$1</c:f>
              <c:strCache>
                <c:ptCount val="1"/>
                <c:pt idx="0">
                  <c:v>ІІ-2</c:v>
                </c:pt>
              </c:strCache>
            </c:strRef>
          </c:tx>
          <c:spPr>
            <a:ln w="9525" cap="rnd">
              <a:solidFill>
                <a:schemeClr val="accent2"/>
              </a:solidFill>
              <a:prstDash val="sysDash"/>
              <a:round/>
            </a:ln>
            <a:effectLst/>
          </c:spPr>
          <c:marker>
            <c:symbol val="square"/>
            <c:size val="3"/>
            <c:spPr>
              <a:solidFill>
                <a:schemeClr val="accent2"/>
              </a:solidFill>
              <a:ln w="9525">
                <a:solidFill>
                  <a:schemeClr val="accent2"/>
                </a:solidFill>
              </a:ln>
              <a:effectLst/>
            </c:spPr>
          </c:marker>
          <c:cat>
            <c:numRef>
              <c:f>'графіки з показн екон млн'!$A$2:$A$22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з показн екон млн'!$F$2:$F$22</c:f>
              <c:numCache>
                <c:formatCode>General</c:formatCode>
                <c:ptCount val="21"/>
                <c:pt idx="0">
                  <c:v>0.11648119108887582</c:v>
                </c:pt>
                <c:pt idx="1">
                  <c:v>0.13467590332462326</c:v>
                </c:pt>
                <c:pt idx="2">
                  <c:v>0.15234126267020853</c:v>
                </c:pt>
                <c:pt idx="3">
                  <c:v>0.16948642583572451</c:v>
                </c:pt>
                <c:pt idx="4">
                  <c:v>0.18612087781032621</c:v>
                </c:pt>
                <c:pt idx="5">
                  <c:v>0.2022543798340429</c:v>
                </c:pt>
                <c:pt idx="6">
                  <c:v>0.21789692158025908</c:v>
                </c:pt>
                <c:pt idx="7">
                  <c:v>0.23305867726582566</c:v>
                </c:pt>
                <c:pt idx="8">
                  <c:v>0.24774996542317154</c:v>
                </c:pt>
                <c:pt idx="9">
                  <c:v>0.26198121208517572</c:v>
                </c:pt>
                <c:pt idx="10">
                  <c:v>0.27576291714899714</c:v>
                </c:pt>
                <c:pt idx="11">
                  <c:v>0.28910562369958265</c:v>
                </c:pt>
                <c:pt idx="12">
                  <c:v>0.30201989008725466</c:v>
                </c:pt>
                <c:pt idx="13">
                  <c:v>0.31451626456664294</c:v>
                </c:pt>
                <c:pt idx="14">
                  <c:v>0.32660526231634196</c:v>
                </c:pt>
                <c:pt idx="15">
                  <c:v>0.33829734467006528</c:v>
                </c:pt>
                <c:pt idx="16">
                  <c:v>0.34960290040078634</c:v>
                </c:pt>
                <c:pt idx="17">
                  <c:v>0.36053222890944031</c:v>
                </c:pt>
                <c:pt idx="18">
                  <c:v>0.37109552517923788</c:v>
                </c:pt>
                <c:pt idx="19">
                  <c:v>0.38130286636556132</c:v>
                </c:pt>
                <c:pt idx="20">
                  <c:v>0.39116419989978446</c:v>
                </c:pt>
              </c:numCache>
            </c:numRef>
          </c:val>
          <c:smooth val="0"/>
          <c:extLst>
            <c:ext xmlns:c16="http://schemas.microsoft.com/office/drawing/2014/chart" uri="{C3380CC4-5D6E-409C-BE32-E72D297353CC}">
              <c16:uniqueId val="{00000005-B97D-4F22-83FA-DDB8F3EDB522}"/>
            </c:ext>
          </c:extLst>
        </c:ser>
        <c:ser>
          <c:idx val="5"/>
          <c:order val="5"/>
          <c:tx>
            <c:strRef>
              <c:f>'графіки з показн екон млн'!$G$1</c:f>
              <c:strCache>
                <c:ptCount val="1"/>
                <c:pt idx="0">
                  <c:v>ІІ-3</c:v>
                </c:pt>
              </c:strCache>
            </c:strRef>
          </c:tx>
          <c:spPr>
            <a:ln w="9525" cap="rnd">
              <a:solidFill>
                <a:schemeClr val="accent2"/>
              </a:solidFill>
              <a:prstDash val="lgDash"/>
              <a:round/>
            </a:ln>
            <a:effectLst/>
          </c:spPr>
          <c:marker>
            <c:symbol val="circle"/>
            <c:size val="3"/>
            <c:spPr>
              <a:solidFill>
                <a:schemeClr val="accent2"/>
              </a:solidFill>
              <a:ln w="9525">
                <a:solidFill>
                  <a:schemeClr val="accent2"/>
                </a:solidFill>
              </a:ln>
              <a:effectLst/>
            </c:spPr>
          </c:marker>
          <c:cat>
            <c:numRef>
              <c:f>'графіки з показн екон млн'!$A$2:$A$22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з показн екон млн'!$G$2:$G$22</c:f>
              <c:numCache>
                <c:formatCode>General</c:formatCode>
                <c:ptCount val="21"/>
                <c:pt idx="0">
                  <c:v>0.15360302746321366</c:v>
                </c:pt>
                <c:pt idx="1">
                  <c:v>0.15963532941029746</c:v>
                </c:pt>
                <c:pt idx="2">
                  <c:v>0.16550438839630896</c:v>
                </c:pt>
                <c:pt idx="3">
                  <c:v>0.17121207268069941</c:v>
                </c:pt>
                <c:pt idx="4">
                  <c:v>0.17676044275889302</c:v>
                </c:pt>
                <c:pt idx="5">
                  <c:v>0.18215172881768302</c:v>
                </c:pt>
                <c:pt idx="6">
                  <c:v>0.18738830990182423</c:v>
                </c:pt>
                <c:pt idx="7">
                  <c:v>0.19247269467997039</c:v>
                </c:pt>
                <c:pt idx="8">
                  <c:v>0.19740750370488289</c:v>
                </c:pt>
                <c:pt idx="9">
                  <c:v>0.20219545306920958</c:v>
                </c:pt>
                <c:pt idx="10">
                  <c:v>0.20683933936415133</c:v>
                </c:pt>
                <c:pt idx="11">
                  <c:v>0.21134202585399356</c:v>
                </c:pt>
                <c:pt idx="12">
                  <c:v>0.21570642978481172</c:v>
                </c:pt>
                <c:pt idx="13">
                  <c:v>0.2199355107506854</c:v>
                </c:pt>
                <c:pt idx="14">
                  <c:v>0.22403226004548521</c:v>
                </c:pt>
                <c:pt idx="15">
                  <c:v>0.22799969093274672</c:v>
                </c:pt>
                <c:pt idx="16">
                  <c:v>0.23184082977034243</c:v>
                </c:pt>
                <c:pt idx="17">
                  <c:v>0.23555870793060513</c:v>
                </c:pt>
                <c:pt idx="18">
                  <c:v>0.23915635446027042</c:v>
                </c:pt>
                <c:pt idx="19">
                  <c:v>0.24263678942810191</c:v>
                </c:pt>
                <c:pt idx="20">
                  <c:v>0.24600301791134996</c:v>
                </c:pt>
              </c:numCache>
            </c:numRef>
          </c:val>
          <c:smooth val="0"/>
          <c:extLst>
            <c:ext xmlns:c16="http://schemas.microsoft.com/office/drawing/2014/chart" uri="{C3380CC4-5D6E-409C-BE32-E72D297353CC}">
              <c16:uniqueId val="{00000006-B97D-4F22-83FA-DDB8F3EDB522}"/>
            </c:ext>
          </c:extLst>
        </c:ser>
        <c:ser>
          <c:idx val="6"/>
          <c:order val="6"/>
          <c:tx>
            <c:strRef>
              <c:f>'графіки з показн екон млн'!$H$1</c:f>
              <c:strCache>
                <c:ptCount val="1"/>
                <c:pt idx="0">
                  <c:v>ІІІ-1</c:v>
                </c:pt>
              </c:strCache>
            </c:strRef>
          </c:tx>
          <c:spPr>
            <a:ln w="9525" cap="rnd">
              <a:solidFill>
                <a:srgbClr val="00B050"/>
              </a:solidFill>
              <a:round/>
            </a:ln>
            <a:effectLst/>
          </c:spPr>
          <c:marker>
            <c:symbol val="none"/>
          </c:marker>
          <c:cat>
            <c:numRef>
              <c:f>'графіки з показн екон млн'!$A$2:$A$22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з показн екон млн'!$H$2:$H$22</c:f>
              <c:numCache>
                <c:formatCode>General</c:formatCode>
                <c:ptCount val="21"/>
                <c:pt idx="0">
                  <c:v>0.15586044434284879</c:v>
                </c:pt>
                <c:pt idx="1">
                  <c:v>0.16598748537432609</c:v>
                </c:pt>
                <c:pt idx="2">
                  <c:v>0.17591056142212927</c:v>
                </c:pt>
                <c:pt idx="3">
                  <c:v>0.18562613391093608</c:v>
                </c:pt>
                <c:pt idx="4">
                  <c:v>0.19513146377822951</c:v>
                </c:pt>
                <c:pt idx="5">
                  <c:v>0.2044245433542019</c:v>
                </c:pt>
                <c:pt idx="6">
                  <c:v>0.21350403291633219</c:v>
                </c:pt>
                <c:pt idx="7">
                  <c:v>0.22236920162789761</c:v>
                </c:pt>
                <c:pt idx="8">
                  <c:v>0.23101987258677054</c:v>
                </c:pt>
                <c:pt idx="9">
                  <c:v>0.23945637172696793</c:v>
                </c:pt>
                <c:pt idx="10">
                  <c:v>0.24767948033063372</c:v>
                </c:pt>
                <c:pt idx="11">
                  <c:v>0.25569039092247126</c:v>
                </c:pt>
                <c:pt idx="12">
                  <c:v>0.26349066633217005</c:v>
                </c:pt>
                <c:pt idx="13">
                  <c:v>0.27108220172312691</c:v>
                </c:pt>
                <c:pt idx="14">
                  <c:v>0.27846718939778536</c:v>
                </c:pt>
                <c:pt idx="15">
                  <c:v>0.28564808620125498</c:v>
                </c:pt>
                <c:pt idx="16">
                  <c:v>0.29262758335556643</c:v>
                </c:pt>
                <c:pt idx="17">
                  <c:v>0.29940857856698055</c:v>
                </c:pt>
                <c:pt idx="18">
                  <c:v>0.30599415025828047</c:v>
                </c:pt>
                <c:pt idx="19">
                  <c:v>0.31238753378691186</c:v>
                </c:pt>
                <c:pt idx="20">
                  <c:v>0.31859209951827289</c:v>
                </c:pt>
              </c:numCache>
            </c:numRef>
          </c:val>
          <c:smooth val="0"/>
          <c:extLst>
            <c:ext xmlns:c16="http://schemas.microsoft.com/office/drawing/2014/chart" uri="{C3380CC4-5D6E-409C-BE32-E72D297353CC}">
              <c16:uniqueId val="{00000007-B97D-4F22-83FA-DDB8F3EDB522}"/>
            </c:ext>
          </c:extLst>
        </c:ser>
        <c:ser>
          <c:idx val="7"/>
          <c:order val="7"/>
          <c:tx>
            <c:strRef>
              <c:f>'графіки з показн екон млн'!$I$1</c:f>
              <c:strCache>
                <c:ptCount val="1"/>
                <c:pt idx="0">
                  <c:v>ІІІ-2</c:v>
                </c:pt>
              </c:strCache>
            </c:strRef>
          </c:tx>
          <c:spPr>
            <a:ln w="9525" cap="rnd">
              <a:solidFill>
                <a:srgbClr val="00B050"/>
              </a:solidFill>
              <a:prstDash val="sysDash"/>
              <a:round/>
            </a:ln>
            <a:effectLst/>
          </c:spPr>
          <c:marker>
            <c:symbol val="square"/>
            <c:size val="3"/>
            <c:spPr>
              <a:solidFill>
                <a:srgbClr val="00B050"/>
              </a:solidFill>
              <a:ln w="9525">
                <a:solidFill>
                  <a:srgbClr val="00B050"/>
                </a:solidFill>
              </a:ln>
              <a:effectLst/>
            </c:spPr>
          </c:marker>
          <c:cat>
            <c:numRef>
              <c:f>'графіки з показн екон млн'!$A$2:$A$22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з показн екон млн'!$I$2:$I$22</c:f>
              <c:numCache>
                <c:formatCode>General</c:formatCode>
                <c:ptCount val="21"/>
                <c:pt idx="0">
                  <c:v>0.16512465858652148</c:v>
                </c:pt>
                <c:pt idx="1">
                  <c:v>0.17687393134714471</c:v>
                </c:pt>
                <c:pt idx="2">
                  <c:v>0.18828110241488719</c:v>
                </c:pt>
                <c:pt idx="3">
                  <c:v>0.19935211056149574</c:v>
                </c:pt>
                <c:pt idx="4">
                  <c:v>0.21009310470220818</c:v>
                </c:pt>
                <c:pt idx="5">
                  <c:v>0.22051041041548483</c:v>
                </c:pt>
                <c:pt idx="6">
                  <c:v>0.23061049917482149</c:v>
                </c:pt>
                <c:pt idx="7">
                  <c:v>0.24039996011026846</c:v>
                </c:pt>
                <c:pt idx="8">
                  <c:v>0.24988547412850146</c:v>
                </c:pt>
                <c:pt idx="9">
                  <c:v>0.25907379023085303</c:v>
                </c:pt>
                <c:pt idx="10">
                  <c:v>0.26797170387865804</c:v>
                </c:pt>
                <c:pt idx="11">
                  <c:v>0.27658603726463443</c:v>
                </c:pt>
                <c:pt idx="12">
                  <c:v>0.28492362135782778</c:v>
                </c:pt>
                <c:pt idx="13">
                  <c:v>0.29299127959794496</c:v>
                </c:pt>
                <c:pt idx="14">
                  <c:v>0.3007958131227097</c:v>
                </c:pt>
                <c:pt idx="15">
                  <c:v>0.30834398741920738</c:v>
                </c:pt>
                <c:pt idx="16">
                  <c:v>0.31564252029710321</c:v>
                </c:pt>
                <c:pt idx="17">
                  <c:v>0.32269807108810888</c:v>
                </c:pt>
                <c:pt idx="18">
                  <c:v>0.32951723098218255</c:v>
                </c:pt>
                <c:pt idx="19">
                  <c:v>0.33610651441669381</c:v>
                </c:pt>
                <c:pt idx="20">
                  <c:v>0.34247235144018628</c:v>
                </c:pt>
              </c:numCache>
            </c:numRef>
          </c:val>
          <c:smooth val="0"/>
          <c:extLst>
            <c:ext xmlns:c16="http://schemas.microsoft.com/office/drawing/2014/chart" uri="{C3380CC4-5D6E-409C-BE32-E72D297353CC}">
              <c16:uniqueId val="{00000008-B97D-4F22-83FA-DDB8F3EDB522}"/>
            </c:ext>
          </c:extLst>
        </c:ser>
        <c:ser>
          <c:idx val="8"/>
          <c:order val="8"/>
          <c:tx>
            <c:strRef>
              <c:f>'графіки з показн екон млн'!$J$1</c:f>
              <c:strCache>
                <c:ptCount val="1"/>
                <c:pt idx="0">
                  <c:v>ІІІ-3</c:v>
                </c:pt>
              </c:strCache>
            </c:strRef>
          </c:tx>
          <c:spPr>
            <a:ln w="9525" cap="rnd">
              <a:solidFill>
                <a:srgbClr val="00B050"/>
              </a:solidFill>
              <a:prstDash val="lgDash"/>
              <a:round/>
            </a:ln>
            <a:effectLst/>
          </c:spPr>
          <c:marker>
            <c:symbol val="circle"/>
            <c:size val="3"/>
            <c:spPr>
              <a:solidFill>
                <a:srgbClr val="00B050"/>
              </a:solidFill>
              <a:ln w="9525">
                <a:solidFill>
                  <a:srgbClr val="00B050"/>
                </a:solidFill>
              </a:ln>
              <a:effectLst/>
            </c:spPr>
          </c:marker>
          <c:cat>
            <c:numRef>
              <c:f>'графіки з показн екон млн'!$A$2:$A$22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'графіки з показн екон млн'!$J$2:$J$22</c:f>
              <c:numCache>
                <c:formatCode>General</c:formatCode>
                <c:ptCount val="21"/>
                <c:pt idx="0">
                  <c:v>0.20374299290082412</c:v>
                </c:pt>
                <c:pt idx="1">
                  <c:v>0.20839196393308387</c:v>
                </c:pt>
                <c:pt idx="2">
                  <c:v>0.21290547883033584</c:v>
                </c:pt>
                <c:pt idx="3">
                  <c:v>0.21728589629243919</c:v>
                </c:pt>
                <c:pt idx="4">
                  <c:v>0.22153565753794041</c:v>
                </c:pt>
                <c:pt idx="5">
                  <c:v>0.22565727309662473</c:v>
                </c:pt>
                <c:pt idx="6">
                  <c:v>0.22965331067280223</c:v>
                </c:pt>
                <c:pt idx="7">
                  <c:v>0.23352638400730438</c:v>
                </c:pt>
                <c:pt idx="8">
                  <c:v>0.23727914267059386</c:v>
                </c:pt>
                <c:pt idx="9">
                  <c:v>0.24091426272356983</c:v>
                </c:pt>
                <c:pt idx="10">
                  <c:v>0.24443443818657223</c:v>
                </c:pt>
                <c:pt idx="11">
                  <c:v>0.24784237326079331</c:v>
                </c:pt>
                <c:pt idx="12">
                  <c:v>0.25114077524978395</c:v>
                </c:pt>
                <c:pt idx="13">
                  <c:v>0.25433234813201433</c:v>
                </c:pt>
                <c:pt idx="14">
                  <c:v>0.25741978673853899</c:v>
                </c:pt>
                <c:pt idx="15">
                  <c:v>0.26040577149270805</c:v>
                </c:pt>
                <c:pt idx="16">
                  <c:v>0.2632929636716016</c:v>
                </c:pt>
                <c:pt idx="17">
                  <c:v>0.26608400115142705</c:v>
                </c:pt>
                <c:pt idx="18">
                  <c:v>0.26878149460153095</c:v>
                </c:pt>
                <c:pt idx="19">
                  <c:v>0.27138802409395141</c:v>
                </c:pt>
                <c:pt idx="20">
                  <c:v>0.27390613609755982</c:v>
                </c:pt>
              </c:numCache>
            </c:numRef>
          </c:val>
          <c:smooth val="0"/>
          <c:extLst>
            <c:ext xmlns:c16="http://schemas.microsoft.com/office/drawing/2014/chart" uri="{C3380CC4-5D6E-409C-BE32-E72D297353CC}">
              <c16:uniqueId val="{00000009-B97D-4F22-83FA-DDB8F3EDB522}"/>
            </c:ext>
          </c:extLst>
        </c:ser>
        <c:dLbls>
          <c:showLegendKey val="0"/>
          <c:showVal val="0"/>
          <c:showCatName val="0"/>
          <c:showSerName val="0"/>
          <c:showPercent val="0"/>
          <c:showBubbleSize val="0"/>
        </c:dLbls>
        <c:smooth val="0"/>
        <c:axId val="664513152"/>
        <c:axId val="665780992"/>
      </c:lineChart>
      <c:catAx>
        <c:axId val="66451315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t>Years</a:t>
                </a:r>
                <a:endParaRPr lang="uk-UA" sz="1100"/>
              </a:p>
            </c:rich>
          </c:tx>
          <c:layout>
            <c:manualLayout>
              <c:xMode val="edge"/>
              <c:yMode val="edge"/>
              <c:x val="0.51038981601180466"/>
              <c:y val="0.8792765840710586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665780992"/>
        <c:crosses val="autoZero"/>
        <c:auto val="1"/>
        <c:lblAlgn val="ctr"/>
        <c:lblOffset val="100"/>
        <c:noMultiLvlLbl val="0"/>
      </c:catAx>
      <c:valAx>
        <c:axId val="665780992"/>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100"/>
                  <a:t>Discounted integral value</a:t>
                </a:r>
              </a:p>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100"/>
                  <a:t>(EUR million)</a:t>
                </a:r>
              </a:p>
            </c:rich>
          </c:tx>
          <c:layout>
            <c:manualLayout>
              <c:xMode val="edge"/>
              <c:yMode val="edge"/>
              <c:x val="4.0200447047123427E-3"/>
              <c:y val="0.177791760404949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664513152"/>
        <c:crosses val="autoZero"/>
        <c:crossBetween val="between"/>
        <c:majorUnit val="0.25"/>
      </c:valAx>
      <c:spPr>
        <a:noFill/>
        <a:ln>
          <a:noFill/>
        </a:ln>
        <a:effectLst/>
      </c:spPr>
    </c:plotArea>
    <c:legend>
      <c:legendPos val="b"/>
      <c:layout>
        <c:manualLayout>
          <c:xMode val="edge"/>
          <c:yMode val="edge"/>
          <c:x val="7.0195230869627744E-3"/>
          <c:y val="0.93311637727458763"/>
          <c:w val="0.99298047691303748"/>
          <c:h val="6.6883622725412553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FEC4-3B39-4FF3-A62D-E6C0A251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11</Pages>
  <Words>5128</Words>
  <Characters>30773</Characters>
  <Application>Microsoft Office Word</Application>
  <DocSecurity>0</DocSecurity>
  <Lines>256</Lines>
  <Paragraphs>71</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Janusz ROS</cp:lastModifiedBy>
  <cp:revision>53</cp:revision>
  <cp:lastPrinted>2023-08-30T08:29:00Z</cp:lastPrinted>
  <dcterms:created xsi:type="dcterms:W3CDTF">2023-07-24T09:31:00Z</dcterms:created>
  <dcterms:modified xsi:type="dcterms:W3CDTF">2023-08-30T08:34:00Z</dcterms:modified>
</cp:coreProperties>
</file>