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34166F" w:rsidRPr="00F0716B" w14:paraId="1EDF1EF5" w14:textId="77777777" w:rsidTr="003431BC">
        <w:trPr>
          <w:trHeight w:hRule="exact" w:val="142"/>
        </w:trPr>
        <w:tc>
          <w:tcPr>
            <w:tcW w:w="709" w:type="dxa"/>
            <w:vMerge w:val="restart"/>
            <w:shd w:val="clear" w:color="auto" w:fill="auto"/>
            <w:vAlign w:val="center"/>
          </w:tcPr>
          <w:p w14:paraId="66E925BD" w14:textId="77777777" w:rsidR="0034166F" w:rsidRPr="00F0716B" w:rsidRDefault="00000000" w:rsidP="003431BC">
            <w:pPr>
              <w:rPr>
                <w:sz w:val="20"/>
                <w:lang w:val="en-GB"/>
              </w:rPr>
            </w:pPr>
            <w:bookmarkStart w:id="0" w:name="_Hlk103340665"/>
            <w:bookmarkStart w:id="1" w:name="_Hlk24804592"/>
            <w:bookmarkEnd w:id="0"/>
            <w:r>
              <w:rPr>
                <w:noProof/>
                <w:lang w:val="en-GB"/>
              </w:rPr>
              <w:pict w14:anchorId="140CD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2056" type="#_x0000_t75" style="position:absolute;margin-left:-.05pt;margin-top:25.8pt;width:34pt;height:33.5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7" o:title=""/>
                </v:shape>
              </w:pict>
            </w:r>
          </w:p>
        </w:tc>
        <w:tc>
          <w:tcPr>
            <w:tcW w:w="8930" w:type="dxa"/>
            <w:gridSpan w:val="3"/>
            <w:shd w:val="clear" w:color="auto" w:fill="auto"/>
            <w:vAlign w:val="center"/>
          </w:tcPr>
          <w:p w14:paraId="1959A36C" w14:textId="77777777" w:rsidR="0034166F" w:rsidRPr="00F0716B" w:rsidRDefault="0034166F" w:rsidP="003431BC">
            <w:pPr>
              <w:jc w:val="center"/>
              <w:rPr>
                <w:lang w:val="en-GB"/>
              </w:rPr>
            </w:pPr>
          </w:p>
        </w:tc>
      </w:tr>
      <w:tr w:rsidR="0034166F" w:rsidRPr="00F0716B" w14:paraId="5C7EDA6C" w14:textId="77777777" w:rsidTr="003431BC">
        <w:trPr>
          <w:trHeight w:hRule="exact" w:val="283"/>
        </w:trPr>
        <w:tc>
          <w:tcPr>
            <w:tcW w:w="709" w:type="dxa"/>
            <w:vMerge/>
            <w:shd w:val="clear" w:color="auto" w:fill="auto"/>
          </w:tcPr>
          <w:p w14:paraId="70B363BC" w14:textId="77777777" w:rsidR="0034166F" w:rsidRPr="00F0716B" w:rsidRDefault="0034166F" w:rsidP="003431BC">
            <w:pPr>
              <w:jc w:val="center"/>
              <w:rPr>
                <w:lang w:val="en-GB"/>
              </w:rPr>
            </w:pPr>
          </w:p>
        </w:tc>
        <w:tc>
          <w:tcPr>
            <w:tcW w:w="8930" w:type="dxa"/>
            <w:gridSpan w:val="3"/>
            <w:tcBorders>
              <w:bottom w:val="single" w:sz="2" w:space="0" w:color="auto"/>
            </w:tcBorders>
            <w:shd w:val="clear" w:color="auto" w:fill="auto"/>
            <w:vAlign w:val="center"/>
          </w:tcPr>
          <w:p w14:paraId="2D060F1F" w14:textId="77777777" w:rsidR="0034166F" w:rsidRPr="00F0716B" w:rsidRDefault="0034166F" w:rsidP="003431BC">
            <w:pPr>
              <w:jc w:val="center"/>
              <w:rPr>
                <w:lang w:val="en-GB"/>
              </w:rPr>
            </w:pPr>
            <w:proofErr w:type="spellStart"/>
            <w:r w:rsidRPr="00F0716B">
              <w:rPr>
                <w:b/>
                <w:sz w:val="20"/>
                <w:lang w:val="en-GB"/>
              </w:rPr>
              <w:t>Rocznik</w:t>
            </w:r>
            <w:proofErr w:type="spellEnd"/>
            <w:r w:rsidRPr="00F0716B">
              <w:rPr>
                <w:b/>
                <w:sz w:val="20"/>
                <w:lang w:val="en-GB"/>
              </w:rPr>
              <w:t xml:space="preserve"> </w:t>
            </w:r>
            <w:proofErr w:type="spellStart"/>
            <w:r w:rsidRPr="00F0716B">
              <w:rPr>
                <w:b/>
                <w:sz w:val="20"/>
                <w:lang w:val="en-GB"/>
              </w:rPr>
              <w:t>Ochrona</w:t>
            </w:r>
            <w:proofErr w:type="spellEnd"/>
            <w:r w:rsidRPr="00F0716B">
              <w:rPr>
                <w:b/>
                <w:sz w:val="20"/>
                <w:lang w:val="en-GB"/>
              </w:rPr>
              <w:t xml:space="preserve"> </w:t>
            </w:r>
            <w:proofErr w:type="spellStart"/>
            <w:r w:rsidRPr="00F0716B">
              <w:rPr>
                <w:b/>
                <w:sz w:val="20"/>
                <w:lang w:val="en-GB"/>
              </w:rPr>
              <w:t>Środowiska</w:t>
            </w:r>
            <w:proofErr w:type="spellEnd"/>
          </w:p>
        </w:tc>
      </w:tr>
      <w:tr w:rsidR="0034166F" w:rsidRPr="00F0716B" w14:paraId="021E98A5" w14:textId="77777777" w:rsidTr="003431BC">
        <w:trPr>
          <w:trHeight w:hRule="exact" w:val="283"/>
        </w:trPr>
        <w:tc>
          <w:tcPr>
            <w:tcW w:w="709" w:type="dxa"/>
            <w:vMerge/>
            <w:shd w:val="clear" w:color="auto" w:fill="auto"/>
          </w:tcPr>
          <w:p w14:paraId="098E49FD" w14:textId="77777777" w:rsidR="0034166F" w:rsidRPr="00F0716B" w:rsidRDefault="0034166F" w:rsidP="003431BC">
            <w:pPr>
              <w:jc w:val="center"/>
              <w:rPr>
                <w:lang w:val="en-GB"/>
              </w:rPr>
            </w:pPr>
          </w:p>
        </w:tc>
        <w:tc>
          <w:tcPr>
            <w:tcW w:w="992" w:type="dxa"/>
            <w:tcBorders>
              <w:top w:val="single" w:sz="2" w:space="0" w:color="auto"/>
              <w:bottom w:val="single" w:sz="2" w:space="0" w:color="auto"/>
            </w:tcBorders>
            <w:shd w:val="clear" w:color="auto" w:fill="auto"/>
            <w:vAlign w:val="center"/>
          </w:tcPr>
          <w:p w14:paraId="32B91FD7" w14:textId="77777777" w:rsidR="0034166F" w:rsidRPr="00F0716B" w:rsidRDefault="0034166F" w:rsidP="003431BC">
            <w:pPr>
              <w:rPr>
                <w:sz w:val="18"/>
                <w:szCs w:val="18"/>
                <w:lang w:val="en-GB"/>
              </w:rPr>
            </w:pPr>
            <w:r w:rsidRPr="00F0716B">
              <w:rPr>
                <w:sz w:val="18"/>
                <w:szCs w:val="18"/>
                <w:lang w:val="en-GB"/>
              </w:rPr>
              <w:t>Volume 25</w:t>
            </w:r>
          </w:p>
        </w:tc>
        <w:tc>
          <w:tcPr>
            <w:tcW w:w="6304" w:type="dxa"/>
            <w:tcBorders>
              <w:top w:val="single" w:sz="2" w:space="0" w:color="auto"/>
              <w:bottom w:val="single" w:sz="2" w:space="0" w:color="auto"/>
            </w:tcBorders>
            <w:shd w:val="clear" w:color="auto" w:fill="auto"/>
            <w:vAlign w:val="center"/>
          </w:tcPr>
          <w:p w14:paraId="0307460A" w14:textId="77777777" w:rsidR="0034166F" w:rsidRPr="00F0716B" w:rsidRDefault="0034166F" w:rsidP="003E0E17">
            <w:pPr>
              <w:tabs>
                <w:tab w:val="left" w:pos="3057"/>
              </w:tabs>
              <w:ind w:left="227"/>
              <w:rPr>
                <w:sz w:val="18"/>
                <w:szCs w:val="18"/>
                <w:lang w:val="en-GB"/>
              </w:rPr>
            </w:pPr>
            <w:r w:rsidRPr="00F0716B">
              <w:rPr>
                <w:sz w:val="18"/>
                <w:szCs w:val="18"/>
                <w:lang w:val="en-GB"/>
              </w:rPr>
              <w:t>Year 2023</w:t>
            </w:r>
            <w:r w:rsidRPr="00F0716B">
              <w:rPr>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49169352" w14:textId="77777777" w:rsidR="0034166F" w:rsidRPr="00F0716B" w:rsidRDefault="0034166F" w:rsidP="003431BC">
            <w:pPr>
              <w:jc w:val="right"/>
              <w:rPr>
                <w:sz w:val="18"/>
                <w:szCs w:val="18"/>
                <w:lang w:val="en-GB"/>
              </w:rPr>
            </w:pPr>
            <w:r w:rsidRPr="00F0716B">
              <w:rPr>
                <w:sz w:val="18"/>
                <w:szCs w:val="18"/>
                <w:lang w:val="en-GB"/>
              </w:rPr>
              <w:t>pp. 68-</w:t>
            </w:r>
            <w:r w:rsidR="00751A0E">
              <w:rPr>
                <w:sz w:val="18"/>
                <w:szCs w:val="18"/>
                <w:lang w:val="en-GB"/>
              </w:rPr>
              <w:t>7</w:t>
            </w:r>
            <w:r w:rsidRPr="00F0716B">
              <w:rPr>
                <w:sz w:val="18"/>
                <w:szCs w:val="18"/>
                <w:lang w:val="en-GB"/>
              </w:rPr>
              <w:t>6</w:t>
            </w:r>
          </w:p>
        </w:tc>
      </w:tr>
      <w:tr w:rsidR="0034166F" w:rsidRPr="00F0716B" w14:paraId="32F6621A" w14:textId="77777777" w:rsidTr="003431BC">
        <w:trPr>
          <w:trHeight w:hRule="exact" w:val="283"/>
        </w:trPr>
        <w:tc>
          <w:tcPr>
            <w:tcW w:w="709" w:type="dxa"/>
            <w:shd w:val="clear" w:color="auto" w:fill="auto"/>
          </w:tcPr>
          <w:p w14:paraId="6AD2B2FA" w14:textId="77777777" w:rsidR="0034166F" w:rsidRPr="00F0716B" w:rsidRDefault="0034166F" w:rsidP="003431BC">
            <w:pPr>
              <w:jc w:val="center"/>
              <w:rPr>
                <w:lang w:val="en-GB"/>
              </w:rPr>
            </w:pPr>
          </w:p>
        </w:tc>
        <w:tc>
          <w:tcPr>
            <w:tcW w:w="8930" w:type="dxa"/>
            <w:gridSpan w:val="3"/>
            <w:tcBorders>
              <w:top w:val="single" w:sz="2" w:space="0" w:color="auto"/>
              <w:bottom w:val="single" w:sz="2" w:space="0" w:color="auto"/>
            </w:tcBorders>
            <w:shd w:val="clear" w:color="auto" w:fill="auto"/>
            <w:vAlign w:val="center"/>
          </w:tcPr>
          <w:p w14:paraId="30291423" w14:textId="77777777" w:rsidR="0034166F" w:rsidRPr="00F0716B" w:rsidRDefault="0034166F" w:rsidP="003431BC">
            <w:pPr>
              <w:tabs>
                <w:tab w:val="right" w:pos="8928"/>
              </w:tabs>
              <w:rPr>
                <w:sz w:val="18"/>
                <w:szCs w:val="18"/>
                <w:lang w:val="en-GB"/>
              </w:rPr>
            </w:pPr>
            <w:r w:rsidRPr="00F0716B">
              <w:rPr>
                <w:sz w:val="18"/>
                <w:szCs w:val="18"/>
                <w:lang w:val="en-GB"/>
              </w:rPr>
              <w:t>https://doi.org/10.54740/ros.2023.008</w:t>
            </w:r>
            <w:r w:rsidRPr="00F0716B">
              <w:rPr>
                <w:sz w:val="18"/>
                <w:szCs w:val="18"/>
                <w:lang w:val="en-GB"/>
              </w:rPr>
              <w:tab/>
              <w:t>open access</w:t>
            </w:r>
          </w:p>
        </w:tc>
      </w:tr>
      <w:tr w:rsidR="0034166F" w:rsidRPr="00F0716B" w14:paraId="32652961" w14:textId="77777777" w:rsidTr="003431BC">
        <w:trPr>
          <w:trHeight w:hRule="exact" w:val="283"/>
        </w:trPr>
        <w:tc>
          <w:tcPr>
            <w:tcW w:w="709" w:type="dxa"/>
            <w:shd w:val="clear" w:color="auto" w:fill="auto"/>
          </w:tcPr>
          <w:p w14:paraId="311E3BB0" w14:textId="77777777" w:rsidR="0034166F" w:rsidRPr="00F0716B" w:rsidRDefault="0034166F" w:rsidP="003431BC">
            <w:pPr>
              <w:jc w:val="center"/>
              <w:rPr>
                <w:lang w:val="en-GB"/>
              </w:rPr>
            </w:pPr>
          </w:p>
        </w:tc>
        <w:tc>
          <w:tcPr>
            <w:tcW w:w="8930" w:type="dxa"/>
            <w:gridSpan w:val="3"/>
            <w:tcBorders>
              <w:top w:val="single" w:sz="2" w:space="0" w:color="auto"/>
            </w:tcBorders>
            <w:shd w:val="clear" w:color="auto" w:fill="auto"/>
            <w:vAlign w:val="center"/>
          </w:tcPr>
          <w:p w14:paraId="6FE4AA46" w14:textId="77777777" w:rsidR="0034166F" w:rsidRPr="00F0716B" w:rsidRDefault="0034166F" w:rsidP="003431BC">
            <w:pPr>
              <w:tabs>
                <w:tab w:val="left" w:pos="3828"/>
                <w:tab w:val="right" w:pos="8928"/>
              </w:tabs>
              <w:rPr>
                <w:spacing w:val="-4"/>
                <w:sz w:val="18"/>
                <w:szCs w:val="18"/>
                <w:lang w:val="en-GB"/>
              </w:rPr>
            </w:pPr>
            <w:r w:rsidRPr="00F0716B">
              <w:rPr>
                <w:spacing w:val="-4"/>
                <w:sz w:val="18"/>
                <w:szCs w:val="18"/>
                <w:lang w:val="en-GB"/>
              </w:rPr>
              <w:t>Received: March 2023</w:t>
            </w:r>
            <w:r w:rsidRPr="00F0716B">
              <w:rPr>
                <w:spacing w:val="-4"/>
                <w:sz w:val="18"/>
                <w:szCs w:val="18"/>
                <w:lang w:val="en-GB"/>
              </w:rPr>
              <w:tab/>
              <w:t>Accepted: April 2023</w:t>
            </w:r>
            <w:r w:rsidRPr="00F0716B">
              <w:rPr>
                <w:spacing w:val="-4"/>
                <w:sz w:val="18"/>
                <w:szCs w:val="18"/>
                <w:lang w:val="en-GB"/>
              </w:rPr>
              <w:tab/>
              <w:t>Published: May 2023</w:t>
            </w:r>
          </w:p>
        </w:tc>
      </w:tr>
    </w:tbl>
    <w:bookmarkEnd w:id="1"/>
    <w:p w14:paraId="6DF14215" w14:textId="77777777" w:rsidR="0016385D" w:rsidRPr="00F0716B" w:rsidRDefault="009955D1" w:rsidP="0034166F">
      <w:pPr>
        <w:pStyle w:val="Rtytu"/>
        <w:rPr>
          <w:bCs/>
          <w:lang w:val="en-GB"/>
        </w:rPr>
      </w:pPr>
      <w:r w:rsidRPr="00F0716B">
        <w:rPr>
          <w:lang w:val="en-GB"/>
        </w:rPr>
        <w:t xml:space="preserve">Validation of the </w:t>
      </w:r>
      <w:proofErr w:type="spellStart"/>
      <w:r w:rsidRPr="00F0716B">
        <w:rPr>
          <w:lang w:val="en-GB"/>
        </w:rPr>
        <w:t>Fanger</w:t>
      </w:r>
      <w:proofErr w:type="spellEnd"/>
      <w:r w:rsidRPr="00F0716B">
        <w:rPr>
          <w:lang w:val="en-GB"/>
        </w:rPr>
        <w:t xml:space="preserve"> </w:t>
      </w:r>
      <w:r w:rsidR="00743118" w:rsidRPr="00F0716B">
        <w:rPr>
          <w:lang w:val="en-GB"/>
        </w:rPr>
        <w:t>M</w:t>
      </w:r>
      <w:r w:rsidRPr="00F0716B">
        <w:rPr>
          <w:lang w:val="en-GB"/>
        </w:rPr>
        <w:t xml:space="preserve">odel and </w:t>
      </w:r>
      <w:r w:rsidR="00743118" w:rsidRPr="00F0716B">
        <w:rPr>
          <w:lang w:val="en-GB"/>
        </w:rPr>
        <w:t>A</w:t>
      </w:r>
      <w:r w:rsidRPr="00F0716B">
        <w:rPr>
          <w:lang w:val="en-GB"/>
        </w:rPr>
        <w:t xml:space="preserve">ssessment of SBS </w:t>
      </w:r>
      <w:r w:rsidR="00743118" w:rsidRPr="00F0716B">
        <w:rPr>
          <w:lang w:val="en-GB"/>
        </w:rPr>
        <w:t>S</w:t>
      </w:r>
      <w:r w:rsidRPr="00F0716B">
        <w:rPr>
          <w:lang w:val="en-GB"/>
        </w:rPr>
        <w:t xml:space="preserve">ymptoms in the </w:t>
      </w:r>
      <w:r w:rsidR="00743118" w:rsidRPr="00F0716B">
        <w:rPr>
          <w:lang w:val="en-GB"/>
        </w:rPr>
        <w:t>L</w:t>
      </w:r>
      <w:r w:rsidRPr="00F0716B">
        <w:rPr>
          <w:lang w:val="en-GB"/>
        </w:rPr>
        <w:t xml:space="preserve">ecture </w:t>
      </w:r>
      <w:r w:rsidR="00743118" w:rsidRPr="00F0716B">
        <w:rPr>
          <w:lang w:val="en-GB"/>
        </w:rPr>
        <w:t>R</w:t>
      </w:r>
      <w:r w:rsidRPr="00F0716B">
        <w:rPr>
          <w:lang w:val="en-GB"/>
        </w:rPr>
        <w:t>oom</w:t>
      </w:r>
    </w:p>
    <w:p w14:paraId="5B810348" w14:textId="77777777" w:rsidR="00027428" w:rsidRPr="00F0716B" w:rsidRDefault="009955D1" w:rsidP="0034166F">
      <w:pPr>
        <w:pStyle w:val="Rautor"/>
        <w:rPr>
          <w:lang w:val="en-GB" w:eastAsia="en-GB"/>
        </w:rPr>
      </w:pPr>
      <w:r w:rsidRPr="00F0716B">
        <w:rPr>
          <w:lang w:val="en-GB"/>
        </w:rPr>
        <w:t>Natalia</w:t>
      </w:r>
      <w:r w:rsidR="006200DD" w:rsidRPr="00F0716B">
        <w:rPr>
          <w:lang w:val="en-GB"/>
        </w:rPr>
        <w:t xml:space="preserve"> </w:t>
      </w:r>
      <w:r w:rsidRPr="00F0716B">
        <w:rPr>
          <w:lang w:val="en-GB"/>
        </w:rPr>
        <w:t>Krawczyk</w:t>
      </w:r>
      <w:r w:rsidR="006200DD" w:rsidRPr="00F0716B">
        <w:rPr>
          <w:vertAlign w:val="superscript"/>
          <w:lang w:val="en-GB"/>
        </w:rPr>
        <w:t>1</w:t>
      </w:r>
      <w:r w:rsidR="006547DE" w:rsidRPr="00F0716B">
        <w:rPr>
          <w:lang w:val="en-GB"/>
        </w:rPr>
        <w:t xml:space="preserve">, </w:t>
      </w:r>
      <w:r w:rsidRPr="00F0716B">
        <w:rPr>
          <w:lang w:val="en-GB"/>
        </w:rPr>
        <w:t>Luiza Dębska</w:t>
      </w:r>
      <w:r w:rsidRPr="00F0716B">
        <w:rPr>
          <w:vertAlign w:val="superscript"/>
          <w:lang w:val="en-GB"/>
        </w:rPr>
        <w:t>2</w:t>
      </w:r>
      <w:r w:rsidR="0092189A" w:rsidRPr="00F0716B">
        <w:rPr>
          <w:vertAlign w:val="superscript"/>
          <w:lang w:val="en-GB"/>
        </w:rPr>
        <w:t>*</w:t>
      </w:r>
      <w:r w:rsidRPr="00F0716B">
        <w:rPr>
          <w:lang w:val="en-GB"/>
        </w:rPr>
        <w:t xml:space="preserve">, Jerzy </w:t>
      </w:r>
      <w:proofErr w:type="spellStart"/>
      <w:r w:rsidRPr="00F0716B">
        <w:rPr>
          <w:lang w:val="en-GB"/>
        </w:rPr>
        <w:t>Zb</w:t>
      </w:r>
      <w:proofErr w:type="spellEnd"/>
      <w:r w:rsidRPr="00F0716B">
        <w:rPr>
          <w:lang w:val="en-GB"/>
        </w:rPr>
        <w:t>. Piotrowski</w:t>
      </w:r>
      <w:r w:rsidRPr="00F0716B">
        <w:rPr>
          <w:vertAlign w:val="superscript"/>
          <w:lang w:val="en-GB"/>
        </w:rPr>
        <w:t>3</w:t>
      </w:r>
      <w:r w:rsidRPr="00F0716B">
        <w:rPr>
          <w:lang w:val="en-GB"/>
        </w:rPr>
        <w:t xml:space="preserve">, </w:t>
      </w:r>
      <w:r w:rsidR="006200DD" w:rsidRPr="00F0716B">
        <w:rPr>
          <w:lang w:val="en-GB"/>
        </w:rPr>
        <w:t>Stanislav Honus</w:t>
      </w:r>
      <w:r w:rsidRPr="00F0716B">
        <w:rPr>
          <w:vertAlign w:val="superscript"/>
          <w:lang w:val="en-GB"/>
        </w:rPr>
        <w:t>4</w:t>
      </w:r>
      <w:r w:rsidR="006200DD" w:rsidRPr="00F0716B">
        <w:rPr>
          <w:lang w:val="en-GB"/>
        </w:rPr>
        <w:t>,</w:t>
      </w:r>
      <w:r w:rsidR="0016385D" w:rsidRPr="00F0716B">
        <w:rPr>
          <w:lang w:val="en-GB"/>
        </w:rPr>
        <w:t xml:space="preserve"> </w:t>
      </w:r>
      <w:r w:rsidRPr="00F0716B">
        <w:rPr>
          <w:lang w:val="en-GB"/>
        </w:rPr>
        <w:t>Grzegorz Majewski</w:t>
      </w:r>
      <w:r w:rsidRPr="00F0716B">
        <w:rPr>
          <w:vertAlign w:val="superscript"/>
          <w:lang w:val="en-GB"/>
        </w:rPr>
        <w:t>5</w:t>
      </w:r>
    </w:p>
    <w:p w14:paraId="7F67D178" w14:textId="77777777" w:rsidR="00C14B14" w:rsidRPr="00F0716B" w:rsidRDefault="00027428" w:rsidP="0034166F">
      <w:pPr>
        <w:pStyle w:val="Rafiliacja"/>
        <w:rPr>
          <w:lang w:val="en-GB"/>
        </w:rPr>
      </w:pPr>
      <w:r w:rsidRPr="00F0716B">
        <w:rPr>
          <w:iCs/>
          <w:vertAlign w:val="superscript"/>
          <w:lang w:val="en-GB"/>
        </w:rPr>
        <w:t>1</w:t>
      </w:r>
      <w:r w:rsidR="006200DD" w:rsidRPr="00F0716B">
        <w:rPr>
          <w:lang w:val="en-GB"/>
        </w:rPr>
        <w:t xml:space="preserve">Faculty of Environmental Engineering, Geodesy and Renewable Energy, </w:t>
      </w:r>
      <w:r w:rsidR="0034166F" w:rsidRPr="00F0716B">
        <w:rPr>
          <w:lang w:val="en-GB"/>
        </w:rPr>
        <w:br/>
      </w:r>
      <w:r w:rsidR="006200DD" w:rsidRPr="00F0716B">
        <w:rPr>
          <w:lang w:val="en-GB"/>
        </w:rPr>
        <w:t>Kielce University of Technology, Kielce, Poland</w:t>
      </w:r>
    </w:p>
    <w:p w14:paraId="4CDBF383" w14:textId="77777777" w:rsidR="0092189A" w:rsidRPr="00F0716B" w:rsidRDefault="0092189A" w:rsidP="0034166F">
      <w:pPr>
        <w:pStyle w:val="Rafiliacja"/>
        <w:rPr>
          <w:lang w:val="en-GB"/>
        </w:rPr>
      </w:pPr>
      <w:r w:rsidRPr="00F0716B">
        <w:rPr>
          <w:lang w:val="en-GB"/>
        </w:rPr>
        <w:t>https://orcid.org/0000-0002-4003-3355</w:t>
      </w:r>
    </w:p>
    <w:p w14:paraId="2D19B970" w14:textId="77777777" w:rsidR="009955D1" w:rsidRPr="00F0716B" w:rsidRDefault="009955D1" w:rsidP="0034166F">
      <w:pPr>
        <w:pStyle w:val="Rafiliacja"/>
        <w:rPr>
          <w:lang w:val="en-GB"/>
        </w:rPr>
      </w:pPr>
      <w:r w:rsidRPr="00F0716B">
        <w:rPr>
          <w:iCs/>
          <w:vertAlign w:val="superscript"/>
          <w:lang w:val="en-GB"/>
        </w:rPr>
        <w:t>2</w:t>
      </w:r>
      <w:r w:rsidRPr="00F0716B">
        <w:rPr>
          <w:lang w:val="en-GB"/>
        </w:rPr>
        <w:t xml:space="preserve">Faculty of Environmental Engineering, Geodesy and Renewable Energy, </w:t>
      </w:r>
      <w:r w:rsidR="0034166F" w:rsidRPr="00F0716B">
        <w:rPr>
          <w:lang w:val="en-GB"/>
        </w:rPr>
        <w:br/>
      </w:r>
      <w:r w:rsidRPr="00F0716B">
        <w:rPr>
          <w:lang w:val="en-GB"/>
        </w:rPr>
        <w:t>Kielce University of Technology, Kielce, Poland</w:t>
      </w:r>
    </w:p>
    <w:p w14:paraId="4EEBD727" w14:textId="77777777" w:rsidR="0092189A" w:rsidRPr="00F0716B" w:rsidRDefault="0092189A" w:rsidP="0034166F">
      <w:pPr>
        <w:pStyle w:val="Rafiliacja"/>
        <w:rPr>
          <w:lang w:val="en-GB"/>
        </w:rPr>
      </w:pPr>
      <w:r w:rsidRPr="00F0716B">
        <w:rPr>
          <w:lang w:val="en-GB"/>
        </w:rPr>
        <w:t>https://orcid.org/0000-0001-7254-278X</w:t>
      </w:r>
    </w:p>
    <w:p w14:paraId="48A9C85C" w14:textId="77777777" w:rsidR="009955D1" w:rsidRPr="00F0716B" w:rsidRDefault="009955D1" w:rsidP="0034166F">
      <w:pPr>
        <w:pStyle w:val="Rafiliacja"/>
        <w:rPr>
          <w:lang w:val="en-GB"/>
        </w:rPr>
      </w:pPr>
      <w:r w:rsidRPr="00F0716B">
        <w:rPr>
          <w:iCs/>
          <w:vertAlign w:val="superscript"/>
          <w:lang w:val="en-GB"/>
        </w:rPr>
        <w:t>3</w:t>
      </w:r>
      <w:r w:rsidRPr="00F0716B">
        <w:rPr>
          <w:lang w:val="en-GB"/>
        </w:rPr>
        <w:t xml:space="preserve">Faculty of Environmental Engineering, Geodesy and Renewable Energy, </w:t>
      </w:r>
      <w:r w:rsidR="0034166F" w:rsidRPr="00F0716B">
        <w:rPr>
          <w:lang w:val="en-GB"/>
        </w:rPr>
        <w:br/>
      </w:r>
      <w:r w:rsidRPr="00F0716B">
        <w:rPr>
          <w:lang w:val="en-GB"/>
        </w:rPr>
        <w:t>Kielce University of Technology, Kielce, Poland</w:t>
      </w:r>
    </w:p>
    <w:p w14:paraId="34785F6B" w14:textId="77777777" w:rsidR="009955D1" w:rsidRPr="00F0716B" w:rsidRDefault="009955D1" w:rsidP="0034166F">
      <w:pPr>
        <w:pStyle w:val="Rafiliacja"/>
        <w:rPr>
          <w:lang w:val="en-GB"/>
        </w:rPr>
      </w:pPr>
      <w:r w:rsidRPr="00F0716B">
        <w:rPr>
          <w:lang w:val="en-GB"/>
        </w:rPr>
        <w:t>https://orcid.org/</w:t>
      </w:r>
      <w:r w:rsidR="00FA321B" w:rsidRPr="00F0716B">
        <w:rPr>
          <w:lang w:val="en-GB"/>
        </w:rPr>
        <w:t>0000-0002-8479-1406</w:t>
      </w:r>
    </w:p>
    <w:p w14:paraId="08F1583A" w14:textId="77777777" w:rsidR="00C14B14" w:rsidRPr="00F0716B" w:rsidRDefault="0016782F" w:rsidP="0034166F">
      <w:pPr>
        <w:pStyle w:val="Rafiliacja"/>
        <w:rPr>
          <w:lang w:val="en-GB"/>
        </w:rPr>
      </w:pPr>
      <w:r w:rsidRPr="00F0716B">
        <w:rPr>
          <w:lang w:val="en-GB"/>
        </w:rPr>
        <w:t xml:space="preserve"> </w:t>
      </w:r>
      <w:r w:rsidR="009955D1" w:rsidRPr="00F0716B">
        <w:rPr>
          <w:iCs/>
          <w:vertAlign w:val="superscript"/>
          <w:lang w:val="en-GB"/>
        </w:rPr>
        <w:t>4</w:t>
      </w:r>
      <w:r w:rsidR="008F6FDC" w:rsidRPr="00F0716B">
        <w:rPr>
          <w:lang w:val="en-GB"/>
        </w:rPr>
        <w:t>Faculty of Mechanical Engineering, V</w:t>
      </w:r>
      <w:r w:rsidR="00AC437A" w:rsidRPr="00F0716B">
        <w:rPr>
          <w:lang w:val="en-GB"/>
        </w:rPr>
        <w:t xml:space="preserve">SB – Technical University of Ostrava, </w:t>
      </w:r>
      <w:r w:rsidR="008F6FDC" w:rsidRPr="00F0716B">
        <w:rPr>
          <w:lang w:val="en-GB"/>
        </w:rPr>
        <w:t>Ostrava-</w:t>
      </w:r>
      <w:proofErr w:type="spellStart"/>
      <w:r w:rsidR="008F6FDC" w:rsidRPr="00F0716B">
        <w:rPr>
          <w:lang w:val="en-GB"/>
        </w:rPr>
        <w:t>Poruba</w:t>
      </w:r>
      <w:proofErr w:type="spellEnd"/>
      <w:r w:rsidR="008F6FDC" w:rsidRPr="00F0716B">
        <w:rPr>
          <w:lang w:val="en-GB"/>
        </w:rPr>
        <w:t>, Czech Republic</w:t>
      </w:r>
    </w:p>
    <w:p w14:paraId="2DD26012" w14:textId="77777777" w:rsidR="009301ED" w:rsidRPr="00F0716B" w:rsidRDefault="009955D1" w:rsidP="0034166F">
      <w:pPr>
        <w:pStyle w:val="Rafiliacja"/>
        <w:rPr>
          <w:lang w:val="en-GB"/>
        </w:rPr>
      </w:pPr>
      <w:r w:rsidRPr="00F0716B">
        <w:rPr>
          <w:iCs/>
          <w:vertAlign w:val="superscript"/>
          <w:lang w:val="en-GB"/>
        </w:rPr>
        <w:t>5</w:t>
      </w:r>
      <w:r w:rsidR="00AC437A" w:rsidRPr="00F0716B">
        <w:rPr>
          <w:lang w:val="en-GB"/>
        </w:rPr>
        <w:t xml:space="preserve">Faculty of </w:t>
      </w:r>
      <w:r w:rsidR="00D87254" w:rsidRPr="00F0716B">
        <w:rPr>
          <w:lang w:val="en-GB"/>
        </w:rPr>
        <w:t>Civil Engineering and Architecture</w:t>
      </w:r>
      <w:r w:rsidR="00AC437A" w:rsidRPr="00F0716B">
        <w:rPr>
          <w:lang w:val="en-GB"/>
        </w:rPr>
        <w:t>, Kielce University of Technology</w:t>
      </w:r>
      <w:r w:rsidR="00F123FA" w:rsidRPr="00F0716B">
        <w:rPr>
          <w:lang w:val="en-GB"/>
        </w:rPr>
        <w:t>,</w:t>
      </w:r>
      <w:r w:rsidR="00D87254" w:rsidRPr="00F0716B">
        <w:rPr>
          <w:lang w:val="en-GB"/>
        </w:rPr>
        <w:t xml:space="preserve"> Kielce</w:t>
      </w:r>
      <w:r w:rsidR="00F123FA" w:rsidRPr="00F0716B">
        <w:rPr>
          <w:lang w:val="en-GB"/>
        </w:rPr>
        <w:t>, Poland</w:t>
      </w:r>
      <w:r w:rsidR="0034166F" w:rsidRPr="00F0716B">
        <w:rPr>
          <w:lang w:val="en-GB"/>
        </w:rPr>
        <w:t xml:space="preserve"> </w:t>
      </w:r>
      <w:r w:rsidR="0034166F" w:rsidRPr="00F0716B">
        <w:rPr>
          <w:lang w:val="en-GB"/>
        </w:rPr>
        <w:br/>
      </w:r>
      <w:r w:rsidR="00D87254" w:rsidRPr="00F0716B">
        <w:rPr>
          <w:lang w:val="en-GB"/>
        </w:rPr>
        <w:t>https://orcid.org/</w:t>
      </w:r>
      <w:r w:rsidR="00FA321B" w:rsidRPr="00F0716B">
        <w:rPr>
          <w:lang w:val="en-GB"/>
        </w:rPr>
        <w:t>0000-0001-6201-8087</w:t>
      </w:r>
    </w:p>
    <w:p w14:paraId="7ABC5273" w14:textId="77777777" w:rsidR="003A5C85" w:rsidRPr="00F0716B" w:rsidRDefault="0034166F" w:rsidP="0034166F">
      <w:pPr>
        <w:pStyle w:val="Rauco"/>
      </w:pPr>
      <w:r w:rsidRPr="001151A0">
        <w:rPr>
          <w:szCs w:val="20"/>
          <w:vertAlign w:val="superscript"/>
        </w:rPr>
        <w:t>*</w:t>
      </w:r>
      <w:r w:rsidRPr="00F0716B">
        <w:t>corresponding author's e</w:t>
      </w:r>
      <w:r w:rsidR="001151A0">
        <w:t>-</w:t>
      </w:r>
      <w:r w:rsidRPr="00F0716B">
        <w:t xml:space="preserve">mail: </w:t>
      </w:r>
      <w:r w:rsidR="00D87254" w:rsidRPr="00F0716B">
        <w:t>ldebska</w:t>
      </w:r>
      <w:r w:rsidR="00D075F9" w:rsidRPr="00F0716B">
        <w:t>@tu.kielce.pl</w:t>
      </w:r>
    </w:p>
    <w:p w14:paraId="25B403A9" w14:textId="77777777" w:rsidR="00234884" w:rsidRPr="00F0716B" w:rsidRDefault="0016385D" w:rsidP="0034166F">
      <w:pPr>
        <w:pStyle w:val="Rab1"/>
      </w:pPr>
      <w:r w:rsidRPr="00F0716B">
        <w:rPr>
          <w:b/>
          <w:bCs/>
        </w:rPr>
        <w:t>Abstract</w:t>
      </w:r>
      <w:r w:rsidR="009301ED" w:rsidRPr="00F0716B">
        <w:rPr>
          <w:b/>
          <w:bCs/>
        </w:rPr>
        <w:t>:</w:t>
      </w:r>
      <w:r w:rsidRPr="00F0716B">
        <w:t xml:space="preserve"> </w:t>
      </w:r>
      <w:r w:rsidR="00D60C42" w:rsidRPr="00F0716B">
        <w:t>The indoor environment of buildings significantly affects the well-being and health of room users</w:t>
      </w:r>
      <w:r w:rsidR="00544346" w:rsidRPr="00F0716B">
        <w:t>. Experiencing</w:t>
      </w:r>
      <w:r w:rsidR="00D60C42" w:rsidRPr="00F0716B">
        <w:t xml:space="preserve"> thermal discomfort reduces concentration and productivity during study or work, causing drowsin</w:t>
      </w:r>
      <w:r w:rsidR="00061A2C" w:rsidRPr="00F0716B">
        <w:t>ess, fatigue or deterioration in</w:t>
      </w:r>
      <w:r w:rsidR="00D60C42" w:rsidRPr="00F0716B">
        <w:t xml:space="preserve"> general well-being. The study focuses on </w:t>
      </w:r>
      <w:r w:rsidR="00680C40">
        <w:t>presenting</w:t>
      </w:r>
      <w:r w:rsidR="00D60C42" w:rsidRPr="00F0716B">
        <w:t xml:space="preserve"> the results of the questionnaire study on the symptoms of sick building syndromes (SBS)</w:t>
      </w:r>
      <w:r w:rsidR="0092189A" w:rsidRPr="00F0716B">
        <w:t>, namely:</w:t>
      </w:r>
      <w:r w:rsidR="00D60C42" w:rsidRPr="00F0716B">
        <w:t xml:space="preserve"> dizziness, nausea, eye pain and </w:t>
      </w:r>
      <w:r w:rsidR="0092189A" w:rsidRPr="00F0716B">
        <w:t>nasal mucosa</w:t>
      </w:r>
      <w:r w:rsidR="00680C40">
        <w:t>,</w:t>
      </w:r>
      <w:r w:rsidR="00D60C42" w:rsidRPr="00F0716B">
        <w:t xml:space="preserve"> experienced by 69 students during a lecture in a large and modern auditorium of Kielce University of Technology. The results show that </w:t>
      </w:r>
      <w:r w:rsidR="00680C40">
        <w:t>many students experienced SBS symptoms, which</w:t>
      </w:r>
      <w:r w:rsidR="0092189A" w:rsidRPr="00F0716B">
        <w:t xml:space="preserve"> seem to</w:t>
      </w:r>
      <w:r w:rsidR="00D60C42" w:rsidRPr="00F0716B">
        <w:t xml:space="preserve"> </w:t>
      </w:r>
      <w:r w:rsidR="0092189A" w:rsidRPr="00F0716B">
        <w:t xml:space="preserve">have </w:t>
      </w:r>
      <w:r w:rsidR="00D60C42" w:rsidRPr="00F0716B">
        <w:t>affect</w:t>
      </w:r>
      <w:r w:rsidR="0092189A" w:rsidRPr="00F0716B">
        <w:t>ed</w:t>
      </w:r>
      <w:r w:rsidR="00D60C42" w:rsidRPr="00F0716B">
        <w:t xml:space="preserve"> their concentration during the class.</w:t>
      </w:r>
      <w:r w:rsidR="0092189A" w:rsidRPr="00F0716B">
        <w:t xml:space="preserve"> T</w:t>
      </w:r>
      <w:r w:rsidR="00D60C42" w:rsidRPr="00F0716B">
        <w:t xml:space="preserve">he article also discusses </w:t>
      </w:r>
      <w:r w:rsidR="00680C40">
        <w:t xml:space="preserve">the </w:t>
      </w:r>
      <w:r w:rsidR="00D60C42" w:rsidRPr="00F0716B">
        <w:t>thermal sensations of</w:t>
      </w:r>
      <w:r w:rsidR="0092189A" w:rsidRPr="00F0716B">
        <w:t xml:space="preserve"> the</w:t>
      </w:r>
      <w:r w:rsidR="00D60C42" w:rsidRPr="00F0716B">
        <w:t xml:space="preserve"> students with </w:t>
      </w:r>
      <w:r w:rsidR="00680C40">
        <w:t>a</w:t>
      </w:r>
      <w:r w:rsidR="00D60C42" w:rsidRPr="00F0716B">
        <w:t xml:space="preserve"> focus on comparing the obtained results with the </w:t>
      </w:r>
      <w:proofErr w:type="spellStart"/>
      <w:r w:rsidR="00D60C42" w:rsidRPr="00F0716B">
        <w:t>Fanger</w:t>
      </w:r>
      <w:proofErr w:type="spellEnd"/>
      <w:r w:rsidR="00D60C42" w:rsidRPr="00F0716B">
        <w:t xml:space="preserve"> model of thermal comfort</w:t>
      </w:r>
      <w:r w:rsidR="00544346" w:rsidRPr="00F0716B">
        <w:t xml:space="preserve">. </w:t>
      </w:r>
      <w:r w:rsidR="0092189A" w:rsidRPr="00F0716B">
        <w:t>The</w:t>
      </w:r>
      <w:r w:rsidR="00544346" w:rsidRPr="00F0716B">
        <w:t xml:space="preserve"> </w:t>
      </w:r>
      <w:r w:rsidR="00BA5EA6" w:rsidRPr="00F0716B">
        <w:t xml:space="preserve">discrepancy </w:t>
      </w:r>
      <w:r w:rsidR="00544346" w:rsidRPr="00F0716B">
        <w:t>between the model calculation results and the experimental data</w:t>
      </w:r>
      <w:r w:rsidR="0092189A" w:rsidRPr="00F0716B">
        <w:t xml:space="preserve"> </w:t>
      </w:r>
      <w:r w:rsidR="00BA5EA6" w:rsidRPr="00F0716B">
        <w:t>has been observed</w:t>
      </w:r>
      <w:r w:rsidR="00061A2C" w:rsidRPr="00F0716B">
        <w:t xml:space="preserve"> and discussed</w:t>
      </w:r>
      <w:r w:rsidR="00544346" w:rsidRPr="00F0716B">
        <w:t>.</w:t>
      </w:r>
    </w:p>
    <w:p w14:paraId="05FD23DE" w14:textId="77777777" w:rsidR="00234884" w:rsidRPr="00F0716B" w:rsidRDefault="00234884" w:rsidP="0034166F">
      <w:pPr>
        <w:pStyle w:val="Rab2"/>
      </w:pPr>
      <w:r w:rsidRPr="00F0716B">
        <w:rPr>
          <w:b/>
          <w:bCs/>
        </w:rPr>
        <w:t>Keywords:</w:t>
      </w:r>
      <w:r w:rsidRPr="00F0716B">
        <w:t xml:space="preserve"> indoor environment, </w:t>
      </w:r>
      <w:r w:rsidR="00D60C42" w:rsidRPr="00F0716B">
        <w:t>sick building syndrome</w:t>
      </w:r>
      <w:r w:rsidRPr="00F0716B">
        <w:t>, thermal comfort</w:t>
      </w:r>
    </w:p>
    <w:p w14:paraId="5B55BB56" w14:textId="77777777" w:rsidR="003A287B" w:rsidRPr="00F0716B" w:rsidRDefault="00594219" w:rsidP="00594219">
      <w:pPr>
        <w:spacing w:before="240" w:after="120"/>
        <w:rPr>
          <w:b/>
          <w:bCs/>
          <w:caps/>
          <w:sz w:val="20"/>
          <w:lang w:val="en-GB"/>
        </w:rPr>
      </w:pPr>
      <w:r w:rsidRPr="00F0716B">
        <w:rPr>
          <w:b/>
          <w:bCs/>
          <w:lang w:val="en-GB"/>
        </w:rPr>
        <w:t>1. Introduction</w:t>
      </w:r>
    </w:p>
    <w:p w14:paraId="0300BB39" w14:textId="77777777" w:rsidR="0046763E" w:rsidRPr="00F0716B" w:rsidRDefault="00680C40" w:rsidP="001F5F7A">
      <w:pPr>
        <w:ind w:firstLine="284"/>
        <w:jc w:val="both"/>
        <w:rPr>
          <w:sz w:val="22"/>
          <w:szCs w:val="22"/>
          <w:lang w:val="en-GB"/>
        </w:rPr>
      </w:pPr>
      <w:r>
        <w:rPr>
          <w:sz w:val="22"/>
          <w:szCs w:val="22"/>
          <w:lang w:val="en-GB"/>
        </w:rPr>
        <w:t>We spend</w:t>
      </w:r>
      <w:r w:rsidR="000A4EBD" w:rsidRPr="00F0716B">
        <w:rPr>
          <w:sz w:val="22"/>
          <w:szCs w:val="22"/>
          <w:lang w:val="en-GB"/>
        </w:rPr>
        <w:t xml:space="preserve"> most of our time indoors</w:t>
      </w:r>
      <w:r w:rsidR="00061A2C" w:rsidRPr="00F0716B">
        <w:rPr>
          <w:sz w:val="22"/>
          <w:szCs w:val="22"/>
          <w:lang w:val="en-GB"/>
        </w:rPr>
        <w:t>, namely</w:t>
      </w:r>
      <w:r w:rsidR="000A4EBD" w:rsidRPr="00F0716B">
        <w:rPr>
          <w:sz w:val="22"/>
          <w:szCs w:val="22"/>
          <w:lang w:val="en-GB"/>
        </w:rPr>
        <w:t xml:space="preserve"> in offices, schools and living quarters. Thus, the indoor environment has a considerable influence on us. It is possible that due to poor ventilation or thermal discomfort</w:t>
      </w:r>
      <w:r>
        <w:rPr>
          <w:sz w:val="22"/>
          <w:szCs w:val="22"/>
          <w:lang w:val="en-GB"/>
        </w:rPr>
        <w:t>,</w:t>
      </w:r>
      <w:r w:rsidR="000A4EBD" w:rsidRPr="00F0716B">
        <w:rPr>
          <w:sz w:val="22"/>
          <w:szCs w:val="22"/>
          <w:lang w:val="en-GB"/>
        </w:rPr>
        <w:t xml:space="preserve"> people tend to </w:t>
      </w:r>
      <w:r w:rsidR="001F5F7A" w:rsidRPr="00F0716B">
        <w:rPr>
          <w:sz w:val="22"/>
          <w:szCs w:val="22"/>
          <w:lang w:val="en-GB"/>
        </w:rPr>
        <w:t>feel tired or</w:t>
      </w:r>
      <w:r w:rsidR="000A4EBD" w:rsidRPr="00F0716B">
        <w:rPr>
          <w:sz w:val="22"/>
          <w:szCs w:val="22"/>
          <w:lang w:val="en-GB"/>
        </w:rPr>
        <w:t xml:space="preserve"> sleepy. Concentration and productivity can also de</w:t>
      </w:r>
      <w:r w:rsidR="001F5F7A" w:rsidRPr="00F0716B">
        <w:rPr>
          <w:sz w:val="22"/>
          <w:szCs w:val="22"/>
          <w:lang w:val="en-GB"/>
        </w:rPr>
        <w:t>teriorate</w:t>
      </w:r>
      <w:r w:rsidR="000A4EBD" w:rsidRPr="00F0716B">
        <w:rPr>
          <w:sz w:val="22"/>
          <w:szCs w:val="22"/>
          <w:lang w:val="en-GB"/>
        </w:rPr>
        <w:t>. Excessive cold or heat also affects our health and well-being. Unsuitable indoor air conditions can have certain consequences</w:t>
      </w:r>
      <w:r>
        <w:rPr>
          <w:sz w:val="22"/>
          <w:szCs w:val="22"/>
          <w:lang w:val="en-GB"/>
        </w:rPr>
        <w:t>,</w:t>
      </w:r>
      <w:r w:rsidR="000A4EBD" w:rsidRPr="00F0716B">
        <w:rPr>
          <w:sz w:val="22"/>
          <w:szCs w:val="22"/>
          <w:lang w:val="en-GB"/>
        </w:rPr>
        <w:t xml:space="preserve"> such as runny nose, watery eyes or dizziness, which are examples of sick building syndrome (SBS) symptoms. </w:t>
      </w:r>
      <w:r w:rsidR="005B05D9" w:rsidRPr="00F0716B">
        <w:rPr>
          <w:sz w:val="22"/>
          <w:szCs w:val="22"/>
          <w:lang w:val="en-GB"/>
        </w:rPr>
        <w:t>A</w:t>
      </w:r>
      <w:r w:rsidR="000A4EBD" w:rsidRPr="00F0716B">
        <w:rPr>
          <w:sz w:val="22"/>
          <w:szCs w:val="22"/>
          <w:lang w:val="en-GB"/>
        </w:rPr>
        <w:t xml:space="preserve"> study </w:t>
      </w:r>
      <w:r w:rsidR="005B05D9" w:rsidRPr="00F0716B">
        <w:rPr>
          <w:sz w:val="22"/>
          <w:szCs w:val="22"/>
          <w:lang w:val="en-GB"/>
        </w:rPr>
        <w:t>(Suzuki et al. 2021) conduc</w:t>
      </w:r>
      <w:r w:rsidR="001F5F7A" w:rsidRPr="00F0716B">
        <w:rPr>
          <w:sz w:val="22"/>
          <w:szCs w:val="22"/>
          <w:lang w:val="en-GB"/>
        </w:rPr>
        <w:t>t</w:t>
      </w:r>
      <w:r w:rsidR="005B05D9" w:rsidRPr="00F0716B">
        <w:rPr>
          <w:sz w:val="22"/>
          <w:szCs w:val="22"/>
          <w:lang w:val="en-GB"/>
        </w:rPr>
        <w:t>ed on</w:t>
      </w:r>
      <w:r w:rsidR="000A4EBD" w:rsidRPr="00F0716B">
        <w:rPr>
          <w:sz w:val="22"/>
          <w:szCs w:val="22"/>
          <w:lang w:val="en-GB"/>
        </w:rPr>
        <w:t xml:space="preserve"> nearly 5000 Japanese participants that focus</w:t>
      </w:r>
      <w:r w:rsidR="005B05D9" w:rsidRPr="00F0716B">
        <w:rPr>
          <w:sz w:val="22"/>
          <w:szCs w:val="22"/>
          <w:lang w:val="en-GB"/>
        </w:rPr>
        <w:t>ed on sick building s</w:t>
      </w:r>
      <w:r w:rsidR="000A4EBD" w:rsidRPr="00F0716B">
        <w:rPr>
          <w:sz w:val="22"/>
          <w:szCs w:val="22"/>
          <w:lang w:val="en-GB"/>
        </w:rPr>
        <w:t xml:space="preserve">yndrome and </w:t>
      </w:r>
      <w:r w:rsidR="005B05D9" w:rsidRPr="00F0716B">
        <w:rPr>
          <w:sz w:val="22"/>
          <w:szCs w:val="22"/>
          <w:lang w:val="en-GB"/>
        </w:rPr>
        <w:t>its</w:t>
      </w:r>
      <w:r w:rsidR="000A4EBD" w:rsidRPr="00F0716B">
        <w:rPr>
          <w:sz w:val="22"/>
          <w:szCs w:val="22"/>
          <w:lang w:val="en-GB"/>
        </w:rPr>
        <w:t xml:space="preserve"> risk factors showed that young people and women, above all, are more sensitive to SBS. </w:t>
      </w:r>
      <w:r w:rsidR="007E2A5A" w:rsidRPr="00F0716B">
        <w:rPr>
          <w:sz w:val="22"/>
          <w:szCs w:val="22"/>
          <w:lang w:val="en-GB"/>
        </w:rPr>
        <w:t xml:space="preserve">The test results </w:t>
      </w:r>
      <w:r w:rsidR="00B530C0" w:rsidRPr="00F0716B">
        <w:rPr>
          <w:sz w:val="22"/>
          <w:szCs w:val="22"/>
          <w:lang w:val="en-GB"/>
        </w:rPr>
        <w:t>obtained in 24 air-conditioned and 27 naturally ventilated university classrooms on 2110 students</w:t>
      </w:r>
      <w:r w:rsidR="001F5F7A" w:rsidRPr="00F0716B">
        <w:rPr>
          <w:sz w:val="22"/>
          <w:szCs w:val="22"/>
          <w:lang w:val="en-GB"/>
        </w:rPr>
        <w:t xml:space="preserve"> (Hu et al.</w:t>
      </w:r>
      <w:r w:rsidR="00B530C0" w:rsidRPr="00F0716B">
        <w:rPr>
          <w:sz w:val="22"/>
          <w:szCs w:val="22"/>
          <w:lang w:val="en-GB"/>
        </w:rPr>
        <w:t xml:space="preserve"> 2022) reveal that </w:t>
      </w:r>
      <w:r w:rsidR="001F5F7A" w:rsidRPr="00F0716B">
        <w:rPr>
          <w:sz w:val="22"/>
          <w:szCs w:val="22"/>
          <w:lang w:val="en-GB"/>
        </w:rPr>
        <w:t xml:space="preserve">men </w:t>
      </w:r>
      <w:r w:rsidR="00B530C0" w:rsidRPr="00F0716B">
        <w:rPr>
          <w:sz w:val="22"/>
          <w:szCs w:val="22"/>
          <w:lang w:val="en-GB"/>
        </w:rPr>
        <w:t>felt comfortable in cooler climates and had a lower incidence of SBS than women.</w:t>
      </w:r>
      <w:r w:rsidR="001911DF" w:rsidRPr="00F0716B">
        <w:rPr>
          <w:sz w:val="22"/>
          <w:szCs w:val="22"/>
          <w:lang w:val="en-GB"/>
        </w:rPr>
        <w:t xml:space="preserve"> In (</w:t>
      </w:r>
      <w:proofErr w:type="spellStart"/>
      <w:r w:rsidR="001F5F7A" w:rsidRPr="00F0716B">
        <w:rPr>
          <w:sz w:val="22"/>
          <w:szCs w:val="22"/>
          <w:lang w:val="en-GB"/>
        </w:rPr>
        <w:t>Mentese</w:t>
      </w:r>
      <w:proofErr w:type="spellEnd"/>
      <w:r w:rsidR="001F5F7A" w:rsidRPr="00F0716B">
        <w:rPr>
          <w:sz w:val="22"/>
          <w:szCs w:val="22"/>
          <w:lang w:val="en-GB"/>
        </w:rPr>
        <w:t xml:space="preserve"> et al.</w:t>
      </w:r>
      <w:r w:rsidR="001911DF" w:rsidRPr="00F0716B">
        <w:rPr>
          <w:sz w:val="22"/>
          <w:szCs w:val="22"/>
          <w:lang w:val="en-GB"/>
        </w:rPr>
        <w:t xml:space="preserve"> 2020)</w:t>
      </w:r>
      <w:r>
        <w:rPr>
          <w:sz w:val="22"/>
          <w:szCs w:val="22"/>
          <w:lang w:val="en-GB"/>
        </w:rPr>
        <w:t>,</w:t>
      </w:r>
      <w:r w:rsidR="001911DF" w:rsidRPr="00F0716B">
        <w:rPr>
          <w:sz w:val="22"/>
          <w:szCs w:val="22"/>
          <w:lang w:val="en-GB"/>
        </w:rPr>
        <w:t xml:space="preserve"> research in Turkish</w:t>
      </w:r>
      <w:r w:rsidR="000A4EBD" w:rsidRPr="00F0716B">
        <w:rPr>
          <w:sz w:val="22"/>
          <w:szCs w:val="22"/>
          <w:lang w:val="en-GB"/>
        </w:rPr>
        <w:t xml:space="preserve"> residential buildings</w:t>
      </w:r>
      <w:r w:rsidR="001911DF" w:rsidRPr="00F0716B">
        <w:rPr>
          <w:sz w:val="22"/>
          <w:szCs w:val="22"/>
          <w:lang w:val="en-GB"/>
        </w:rPr>
        <w:t xml:space="preserve"> was described</w:t>
      </w:r>
      <w:r w:rsidR="000A4EBD" w:rsidRPr="00F0716B">
        <w:rPr>
          <w:sz w:val="22"/>
          <w:szCs w:val="22"/>
          <w:lang w:val="en-GB"/>
        </w:rPr>
        <w:t xml:space="preserve">. </w:t>
      </w:r>
      <w:r w:rsidR="001911DF" w:rsidRPr="00F0716B">
        <w:rPr>
          <w:sz w:val="22"/>
          <w:szCs w:val="22"/>
          <w:lang w:val="en-GB"/>
        </w:rPr>
        <w:t>It</w:t>
      </w:r>
      <w:r w:rsidR="00751A0E">
        <w:rPr>
          <w:sz w:val="22"/>
          <w:szCs w:val="22"/>
          <w:lang w:val="en-GB"/>
        </w:rPr>
        <w:t> </w:t>
      </w:r>
      <w:r w:rsidR="000A4EBD" w:rsidRPr="00F0716B">
        <w:rPr>
          <w:sz w:val="22"/>
          <w:szCs w:val="22"/>
          <w:lang w:val="en-GB"/>
        </w:rPr>
        <w:t xml:space="preserve">focused on sick building syndrome as well as the lung function of the subjects. </w:t>
      </w:r>
      <w:r w:rsidR="001911DF" w:rsidRPr="00F0716B">
        <w:rPr>
          <w:sz w:val="22"/>
          <w:szCs w:val="22"/>
          <w:lang w:val="en-GB"/>
        </w:rPr>
        <w:t>The r</w:t>
      </w:r>
      <w:r w:rsidR="000A4EBD" w:rsidRPr="00F0716B">
        <w:rPr>
          <w:sz w:val="22"/>
          <w:szCs w:val="22"/>
          <w:lang w:val="en-GB"/>
        </w:rPr>
        <w:t xml:space="preserve">esearch has shown that internal and external factors influenced the quality of indoor air. </w:t>
      </w:r>
      <w:r>
        <w:rPr>
          <w:sz w:val="22"/>
          <w:szCs w:val="22"/>
          <w:lang w:val="en-GB"/>
        </w:rPr>
        <w:t>Consequently</w:t>
      </w:r>
      <w:r w:rsidR="000A4EBD" w:rsidRPr="00F0716B">
        <w:rPr>
          <w:sz w:val="22"/>
          <w:szCs w:val="22"/>
          <w:lang w:val="en-GB"/>
        </w:rPr>
        <w:t xml:space="preserve">, the subjects felt tired, had difficulty concentrating, and had flu-like symptoms. Additionally, the authors investigated the relationship between indoor pollution, SBS symptoms and other parameters. </w:t>
      </w:r>
      <w:r w:rsidR="00A461C9" w:rsidRPr="00F0716B">
        <w:rPr>
          <w:sz w:val="22"/>
          <w:szCs w:val="22"/>
          <w:lang w:val="en-GB"/>
        </w:rPr>
        <w:t>The experimental research (Fan</w:t>
      </w:r>
      <w:r w:rsidR="009301ED" w:rsidRPr="00F0716B">
        <w:rPr>
          <w:sz w:val="22"/>
          <w:szCs w:val="22"/>
          <w:lang w:val="en-GB"/>
        </w:rPr>
        <w:t xml:space="preserve"> </w:t>
      </w:r>
      <w:r w:rsidR="00A461C9" w:rsidRPr="00F0716B">
        <w:rPr>
          <w:sz w:val="22"/>
          <w:szCs w:val="22"/>
          <w:lang w:val="en-GB"/>
        </w:rPr>
        <w:t>&amp;</w:t>
      </w:r>
      <w:r w:rsidR="009301ED" w:rsidRPr="00F0716B">
        <w:rPr>
          <w:sz w:val="22"/>
          <w:szCs w:val="22"/>
          <w:lang w:val="en-GB"/>
        </w:rPr>
        <w:t xml:space="preserve"> </w:t>
      </w:r>
      <w:r w:rsidR="001F5F7A" w:rsidRPr="00F0716B">
        <w:rPr>
          <w:sz w:val="22"/>
          <w:szCs w:val="22"/>
          <w:lang w:val="en-GB"/>
        </w:rPr>
        <w:t>Ding</w:t>
      </w:r>
      <w:r w:rsidR="00A461C9" w:rsidRPr="00F0716B">
        <w:rPr>
          <w:sz w:val="22"/>
          <w:szCs w:val="22"/>
          <w:lang w:val="en-GB"/>
        </w:rPr>
        <w:t xml:space="preserve"> 2022) was carried out in China</w:t>
      </w:r>
      <w:r>
        <w:rPr>
          <w:sz w:val="22"/>
          <w:szCs w:val="22"/>
          <w:lang w:val="en-GB"/>
        </w:rPr>
        <w:t>,</w:t>
      </w:r>
      <w:r w:rsidR="00A461C9" w:rsidRPr="00F0716B">
        <w:rPr>
          <w:sz w:val="22"/>
          <w:szCs w:val="22"/>
          <w:lang w:val="en-GB"/>
        </w:rPr>
        <w:t xml:space="preserve"> </w:t>
      </w:r>
      <w:r w:rsidR="001F5F7A" w:rsidRPr="00F0716B">
        <w:rPr>
          <w:sz w:val="22"/>
          <w:szCs w:val="22"/>
          <w:lang w:val="en-GB"/>
        </w:rPr>
        <w:t>and</w:t>
      </w:r>
      <w:r w:rsidR="00A461C9" w:rsidRPr="00F0716B">
        <w:rPr>
          <w:sz w:val="22"/>
          <w:szCs w:val="22"/>
          <w:lang w:val="en-GB"/>
        </w:rPr>
        <w:t xml:space="preserve"> </w:t>
      </w:r>
      <w:r w:rsidR="00C96B16" w:rsidRPr="00F0716B">
        <w:rPr>
          <w:sz w:val="22"/>
          <w:szCs w:val="22"/>
          <w:lang w:val="en-GB"/>
        </w:rPr>
        <w:t>almost 30000 questionnaires from 2370 buildings</w:t>
      </w:r>
      <w:r w:rsidR="00A461C9" w:rsidRPr="00F0716B">
        <w:rPr>
          <w:sz w:val="22"/>
          <w:szCs w:val="22"/>
          <w:lang w:val="en-GB"/>
        </w:rPr>
        <w:t xml:space="preserve"> were collected for the analysis</w:t>
      </w:r>
      <w:r w:rsidR="00C96B16" w:rsidRPr="00F0716B">
        <w:rPr>
          <w:sz w:val="22"/>
          <w:szCs w:val="22"/>
          <w:lang w:val="en-GB"/>
        </w:rPr>
        <w:t xml:space="preserve">. </w:t>
      </w:r>
      <w:r w:rsidR="00A461C9" w:rsidRPr="00F0716B">
        <w:rPr>
          <w:sz w:val="22"/>
          <w:szCs w:val="22"/>
          <w:lang w:val="en-GB"/>
        </w:rPr>
        <w:t xml:space="preserve">It was also confirmed </w:t>
      </w:r>
      <w:r w:rsidR="00C96B16" w:rsidRPr="00F0716B">
        <w:rPr>
          <w:sz w:val="22"/>
          <w:szCs w:val="22"/>
          <w:lang w:val="en-GB"/>
        </w:rPr>
        <w:t>that the indoor environment influences the</w:t>
      </w:r>
      <w:r w:rsidR="00A461C9" w:rsidRPr="00F0716B">
        <w:rPr>
          <w:sz w:val="22"/>
          <w:szCs w:val="22"/>
          <w:lang w:val="en-GB"/>
        </w:rPr>
        <w:t xml:space="preserve"> occurrence of</w:t>
      </w:r>
      <w:r w:rsidR="00C96B16" w:rsidRPr="00F0716B">
        <w:rPr>
          <w:sz w:val="22"/>
          <w:szCs w:val="22"/>
          <w:lang w:val="en-GB"/>
        </w:rPr>
        <w:t xml:space="preserve"> </w:t>
      </w:r>
      <w:r w:rsidR="00A461C9" w:rsidRPr="00F0716B">
        <w:rPr>
          <w:sz w:val="22"/>
          <w:szCs w:val="22"/>
          <w:lang w:val="en-GB"/>
        </w:rPr>
        <w:t>symptoms of sick building s</w:t>
      </w:r>
      <w:r w:rsidR="00C96B16" w:rsidRPr="00F0716B">
        <w:rPr>
          <w:sz w:val="22"/>
          <w:szCs w:val="22"/>
          <w:lang w:val="en-GB"/>
        </w:rPr>
        <w:t xml:space="preserve">yndrome. </w:t>
      </w:r>
      <w:r w:rsidR="00CC462D" w:rsidRPr="00F0716B">
        <w:rPr>
          <w:sz w:val="22"/>
          <w:szCs w:val="22"/>
          <w:lang w:val="en-GB"/>
        </w:rPr>
        <w:t>Another study from China</w:t>
      </w:r>
      <w:r w:rsidR="009C4940" w:rsidRPr="00F0716B">
        <w:rPr>
          <w:sz w:val="22"/>
          <w:szCs w:val="22"/>
          <w:lang w:val="en-GB"/>
        </w:rPr>
        <w:t xml:space="preserve"> (</w:t>
      </w:r>
      <w:r w:rsidR="00C96B16" w:rsidRPr="00F0716B">
        <w:rPr>
          <w:sz w:val="22"/>
          <w:szCs w:val="22"/>
          <w:lang w:val="en-GB"/>
        </w:rPr>
        <w:t xml:space="preserve">Sun et al. </w:t>
      </w:r>
      <w:r w:rsidR="009C4940" w:rsidRPr="00F0716B">
        <w:rPr>
          <w:sz w:val="22"/>
          <w:szCs w:val="22"/>
          <w:lang w:val="en-GB"/>
        </w:rPr>
        <w:t>2013), which covered almost 4</w:t>
      </w:r>
      <w:r w:rsidR="00C96B16" w:rsidRPr="00F0716B">
        <w:rPr>
          <w:sz w:val="22"/>
          <w:szCs w:val="22"/>
          <w:lang w:val="en-GB"/>
        </w:rPr>
        <w:t>000 students of the same age</w:t>
      </w:r>
      <w:r w:rsidR="009C4940" w:rsidRPr="00F0716B">
        <w:rPr>
          <w:sz w:val="22"/>
          <w:szCs w:val="22"/>
          <w:lang w:val="en-GB"/>
        </w:rPr>
        <w:t>, indicates the occurrence of</w:t>
      </w:r>
      <w:r w:rsidR="00C96B16" w:rsidRPr="00F0716B">
        <w:rPr>
          <w:sz w:val="22"/>
          <w:szCs w:val="22"/>
          <w:lang w:val="en-GB"/>
        </w:rPr>
        <w:t xml:space="preserve"> various symptoms of SBS, including skin and mucosa problems. </w:t>
      </w:r>
      <w:r w:rsidR="009C4940" w:rsidRPr="00F0716B">
        <w:rPr>
          <w:sz w:val="22"/>
          <w:szCs w:val="22"/>
          <w:lang w:val="en-GB"/>
        </w:rPr>
        <w:t>It</w:t>
      </w:r>
      <w:r w:rsidR="00751A0E">
        <w:rPr>
          <w:sz w:val="22"/>
          <w:szCs w:val="22"/>
          <w:lang w:val="en-GB"/>
        </w:rPr>
        <w:t> </w:t>
      </w:r>
      <w:r w:rsidR="009C4940" w:rsidRPr="00F0716B">
        <w:rPr>
          <w:sz w:val="22"/>
          <w:szCs w:val="22"/>
          <w:lang w:val="en-GB"/>
        </w:rPr>
        <w:t>needs to be added that w</w:t>
      </w:r>
      <w:r w:rsidR="00C96B16" w:rsidRPr="00F0716B">
        <w:rPr>
          <w:sz w:val="22"/>
          <w:szCs w:val="22"/>
          <w:lang w:val="en-GB"/>
        </w:rPr>
        <w:t>omen</w:t>
      </w:r>
      <w:r w:rsidR="009C4940" w:rsidRPr="00F0716B">
        <w:rPr>
          <w:sz w:val="22"/>
          <w:szCs w:val="22"/>
          <w:lang w:val="en-GB"/>
        </w:rPr>
        <w:t xml:space="preserve"> </w:t>
      </w:r>
      <w:r w:rsidR="00C96B16" w:rsidRPr="00F0716B">
        <w:rPr>
          <w:sz w:val="22"/>
          <w:szCs w:val="22"/>
          <w:lang w:val="en-GB"/>
        </w:rPr>
        <w:t xml:space="preserve">experienced </w:t>
      </w:r>
      <w:r w:rsidR="009C4940" w:rsidRPr="00F0716B">
        <w:rPr>
          <w:sz w:val="22"/>
          <w:szCs w:val="22"/>
          <w:lang w:val="en-GB"/>
        </w:rPr>
        <w:t>more symptoms</w:t>
      </w:r>
      <w:r>
        <w:rPr>
          <w:sz w:val="22"/>
          <w:szCs w:val="22"/>
          <w:lang w:val="en-GB"/>
        </w:rPr>
        <w:t>,</w:t>
      </w:r>
      <w:r w:rsidR="00C96B16" w:rsidRPr="00F0716B">
        <w:rPr>
          <w:sz w:val="22"/>
          <w:szCs w:val="22"/>
          <w:lang w:val="en-GB"/>
        </w:rPr>
        <w:t xml:space="preserve"> such as dry air or the smell of mo</w:t>
      </w:r>
      <w:r>
        <w:rPr>
          <w:sz w:val="22"/>
          <w:szCs w:val="22"/>
          <w:lang w:val="en-GB"/>
        </w:rPr>
        <w:t>u</w:t>
      </w:r>
      <w:r w:rsidR="00C96B16" w:rsidRPr="00F0716B">
        <w:rPr>
          <w:sz w:val="22"/>
          <w:szCs w:val="22"/>
          <w:lang w:val="en-GB"/>
        </w:rPr>
        <w:t xml:space="preserve">ld. </w:t>
      </w:r>
      <w:r w:rsidR="001F2AFC" w:rsidRPr="00F0716B">
        <w:rPr>
          <w:sz w:val="22"/>
          <w:szCs w:val="22"/>
          <w:lang w:val="en-GB"/>
        </w:rPr>
        <w:t>In (</w:t>
      </w:r>
      <w:proofErr w:type="spellStart"/>
      <w:r w:rsidR="00C96B16" w:rsidRPr="00F0716B">
        <w:rPr>
          <w:sz w:val="22"/>
          <w:szCs w:val="22"/>
          <w:lang w:val="en-GB"/>
        </w:rPr>
        <w:t>Licina</w:t>
      </w:r>
      <w:proofErr w:type="spellEnd"/>
      <w:r w:rsidR="00D837A6" w:rsidRPr="00F0716B">
        <w:rPr>
          <w:sz w:val="22"/>
          <w:szCs w:val="22"/>
          <w:lang w:val="en-GB"/>
        </w:rPr>
        <w:t xml:space="preserve"> </w:t>
      </w:r>
      <w:r w:rsidR="001F2AFC" w:rsidRPr="00F0716B">
        <w:rPr>
          <w:sz w:val="22"/>
          <w:szCs w:val="22"/>
          <w:lang w:val="en-GB"/>
        </w:rPr>
        <w:t>&amp;</w:t>
      </w:r>
      <w:r w:rsidR="00D837A6" w:rsidRPr="00F0716B">
        <w:rPr>
          <w:sz w:val="22"/>
          <w:szCs w:val="22"/>
          <w:lang w:val="en-GB"/>
        </w:rPr>
        <w:t xml:space="preserve"> </w:t>
      </w:r>
      <w:r w:rsidR="00C96B16" w:rsidRPr="00F0716B">
        <w:rPr>
          <w:sz w:val="22"/>
          <w:szCs w:val="22"/>
          <w:lang w:val="en-GB"/>
        </w:rPr>
        <w:t>Yildirim</w:t>
      </w:r>
      <w:r w:rsidR="001F2AFC" w:rsidRPr="00F0716B">
        <w:rPr>
          <w:sz w:val="22"/>
          <w:szCs w:val="22"/>
          <w:lang w:val="en-GB"/>
        </w:rPr>
        <w:t xml:space="preserve"> 2021)</w:t>
      </w:r>
      <w:r>
        <w:rPr>
          <w:sz w:val="22"/>
          <w:szCs w:val="22"/>
          <w:lang w:val="en-GB"/>
        </w:rPr>
        <w:t>,</w:t>
      </w:r>
      <w:r w:rsidR="00C96B16" w:rsidRPr="00F0716B">
        <w:rPr>
          <w:sz w:val="22"/>
          <w:szCs w:val="22"/>
          <w:lang w:val="en-GB"/>
        </w:rPr>
        <w:t xml:space="preserve"> productivity and symptoms of SBS before and after moving into office buildings</w:t>
      </w:r>
      <w:r w:rsidR="001F2AFC" w:rsidRPr="00F0716B">
        <w:rPr>
          <w:sz w:val="22"/>
          <w:szCs w:val="22"/>
          <w:lang w:val="en-GB"/>
        </w:rPr>
        <w:t xml:space="preserve"> were tested</w:t>
      </w:r>
      <w:r w:rsidR="00C96B16" w:rsidRPr="00F0716B">
        <w:rPr>
          <w:sz w:val="22"/>
          <w:szCs w:val="22"/>
          <w:lang w:val="en-GB"/>
        </w:rPr>
        <w:t xml:space="preserve">. </w:t>
      </w:r>
      <w:r w:rsidR="001F2AFC" w:rsidRPr="00F0716B">
        <w:rPr>
          <w:sz w:val="22"/>
          <w:szCs w:val="22"/>
          <w:lang w:val="en-GB"/>
        </w:rPr>
        <w:t xml:space="preserve">The </w:t>
      </w:r>
      <w:r w:rsidR="00C96B16" w:rsidRPr="00F0716B">
        <w:rPr>
          <w:sz w:val="22"/>
          <w:szCs w:val="22"/>
          <w:lang w:val="en-GB"/>
        </w:rPr>
        <w:t xml:space="preserve">SBS symptoms were </w:t>
      </w:r>
      <w:r w:rsidR="001F2AFC" w:rsidRPr="00F0716B">
        <w:rPr>
          <w:sz w:val="22"/>
          <w:szCs w:val="22"/>
          <w:lang w:val="en-GB"/>
        </w:rPr>
        <w:t xml:space="preserve">reported </w:t>
      </w:r>
      <w:r w:rsidR="00C96B16" w:rsidRPr="00F0716B">
        <w:rPr>
          <w:sz w:val="22"/>
          <w:szCs w:val="22"/>
          <w:lang w:val="en-GB"/>
        </w:rPr>
        <w:t>mostly below 20%</w:t>
      </w:r>
      <w:r w:rsidR="001F2AFC" w:rsidRPr="00F0716B">
        <w:rPr>
          <w:sz w:val="22"/>
          <w:szCs w:val="22"/>
          <w:lang w:val="en-GB"/>
        </w:rPr>
        <w:t xml:space="preserve"> of the cases</w:t>
      </w:r>
      <w:r>
        <w:rPr>
          <w:sz w:val="22"/>
          <w:szCs w:val="22"/>
          <w:lang w:val="en-GB"/>
        </w:rPr>
        <w:t>;</w:t>
      </w:r>
      <w:r w:rsidR="001F2AFC" w:rsidRPr="00F0716B">
        <w:rPr>
          <w:sz w:val="22"/>
          <w:szCs w:val="22"/>
          <w:lang w:val="en-GB"/>
        </w:rPr>
        <w:t xml:space="preserve"> the most common symptom was</w:t>
      </w:r>
      <w:r w:rsidR="00C96B16" w:rsidRPr="00F0716B">
        <w:rPr>
          <w:sz w:val="22"/>
          <w:szCs w:val="22"/>
          <w:lang w:val="en-GB"/>
        </w:rPr>
        <w:t xml:space="preserve"> fatigue</w:t>
      </w:r>
      <w:r w:rsidR="001F2AFC" w:rsidRPr="00F0716B">
        <w:rPr>
          <w:sz w:val="22"/>
          <w:szCs w:val="22"/>
          <w:lang w:val="en-GB"/>
        </w:rPr>
        <w:t>.</w:t>
      </w:r>
    </w:p>
    <w:p w14:paraId="4E1B192D" w14:textId="77777777" w:rsidR="00C96B16" w:rsidRPr="00F0716B" w:rsidRDefault="0079297D" w:rsidP="00876BB2">
      <w:pPr>
        <w:ind w:firstLine="284"/>
        <w:jc w:val="both"/>
        <w:rPr>
          <w:sz w:val="22"/>
          <w:szCs w:val="22"/>
          <w:lang w:val="en-GB"/>
        </w:rPr>
      </w:pPr>
      <w:r w:rsidRPr="00F0716B">
        <w:rPr>
          <w:sz w:val="22"/>
          <w:szCs w:val="22"/>
          <w:lang w:val="en-GB"/>
        </w:rPr>
        <w:br w:type="page"/>
      </w:r>
      <w:r w:rsidR="00C96B16" w:rsidRPr="00F0716B">
        <w:rPr>
          <w:sz w:val="22"/>
          <w:szCs w:val="22"/>
          <w:lang w:val="en-GB"/>
        </w:rPr>
        <w:lastRenderedPageBreak/>
        <w:t>The problem of the sick building syndrome is closely related to poor indoor air quality. In (</w:t>
      </w:r>
      <w:proofErr w:type="spellStart"/>
      <w:r w:rsidR="00C96B16" w:rsidRPr="00F0716B">
        <w:rPr>
          <w:sz w:val="22"/>
          <w:szCs w:val="22"/>
          <w:lang w:val="en-GB"/>
        </w:rPr>
        <w:t>Dharmasastha</w:t>
      </w:r>
      <w:proofErr w:type="spellEnd"/>
      <w:r w:rsidR="00C96B16" w:rsidRPr="00F0716B">
        <w:rPr>
          <w:sz w:val="22"/>
          <w:szCs w:val="22"/>
          <w:lang w:val="en-GB"/>
        </w:rPr>
        <w:t xml:space="preserve"> </w:t>
      </w:r>
      <w:r w:rsidR="00876BB2" w:rsidRPr="00F0716B">
        <w:rPr>
          <w:sz w:val="22"/>
          <w:szCs w:val="22"/>
          <w:lang w:val="en-GB"/>
        </w:rPr>
        <w:t>et al.</w:t>
      </w:r>
      <w:r w:rsidR="00C96B16" w:rsidRPr="00F0716B">
        <w:rPr>
          <w:sz w:val="22"/>
          <w:szCs w:val="22"/>
          <w:lang w:val="en-GB"/>
        </w:rPr>
        <w:t xml:space="preserve"> 2022)</w:t>
      </w:r>
      <w:r w:rsidR="000A4EBD" w:rsidRPr="00F0716B">
        <w:rPr>
          <w:sz w:val="22"/>
          <w:szCs w:val="22"/>
          <w:lang w:val="en-GB"/>
        </w:rPr>
        <w:t xml:space="preserve">, the authors </w:t>
      </w:r>
      <w:r w:rsidR="00680C40">
        <w:rPr>
          <w:sz w:val="22"/>
          <w:szCs w:val="22"/>
          <w:lang w:val="en-GB"/>
        </w:rPr>
        <w:t>researched</w:t>
      </w:r>
      <w:r w:rsidR="000A4EBD" w:rsidRPr="00F0716B">
        <w:rPr>
          <w:sz w:val="22"/>
          <w:szCs w:val="22"/>
          <w:lang w:val="en-GB"/>
        </w:rPr>
        <w:t xml:space="preserve"> the influence of internal heat load and natural ventilation on the thermal efficiency of the building roof. The results showed that natural ventilation lowers the level of carbon dioxide but </w:t>
      </w:r>
      <w:r w:rsidR="00C96B16" w:rsidRPr="00F0716B">
        <w:rPr>
          <w:sz w:val="22"/>
          <w:szCs w:val="22"/>
          <w:lang w:val="en-GB"/>
        </w:rPr>
        <w:t>reduces</w:t>
      </w:r>
      <w:r w:rsidR="000A4EBD" w:rsidRPr="00F0716B">
        <w:rPr>
          <w:sz w:val="22"/>
          <w:szCs w:val="22"/>
          <w:lang w:val="en-GB"/>
        </w:rPr>
        <w:t xml:space="preserve"> the level of thermal comfort. Similarly, </w:t>
      </w:r>
      <w:r w:rsidR="00C96B16" w:rsidRPr="00F0716B">
        <w:rPr>
          <w:sz w:val="22"/>
          <w:szCs w:val="22"/>
          <w:lang w:val="en-GB"/>
        </w:rPr>
        <w:t>the test results obtained in educational buildings (Chena et al. 2022) confirmed</w:t>
      </w:r>
      <w:r w:rsidR="000A4EBD" w:rsidRPr="00F0716B">
        <w:rPr>
          <w:sz w:val="22"/>
          <w:szCs w:val="22"/>
          <w:lang w:val="en-GB"/>
        </w:rPr>
        <w:t xml:space="preserve"> that the fresh air ventilation system lowers the CO</w:t>
      </w:r>
      <w:r w:rsidR="000A4EBD" w:rsidRPr="00F0716B">
        <w:rPr>
          <w:sz w:val="22"/>
          <w:szCs w:val="22"/>
          <w:vertAlign w:val="subscript"/>
          <w:lang w:val="en-GB"/>
        </w:rPr>
        <w:t>2</w:t>
      </w:r>
      <w:r w:rsidR="000A4EBD" w:rsidRPr="00F0716B">
        <w:rPr>
          <w:sz w:val="22"/>
          <w:szCs w:val="22"/>
          <w:lang w:val="en-GB"/>
        </w:rPr>
        <w:t xml:space="preserve"> concentration in the rooms, </w:t>
      </w:r>
      <w:r w:rsidR="00680C40">
        <w:rPr>
          <w:sz w:val="22"/>
          <w:szCs w:val="22"/>
          <w:lang w:val="en-GB"/>
        </w:rPr>
        <w:t>translating</w:t>
      </w:r>
      <w:r w:rsidR="000A4EBD" w:rsidRPr="00F0716B">
        <w:rPr>
          <w:sz w:val="22"/>
          <w:szCs w:val="22"/>
          <w:lang w:val="en-GB"/>
        </w:rPr>
        <w:t xml:space="preserve"> to </w:t>
      </w:r>
      <w:r w:rsidR="00C96B16" w:rsidRPr="00F0716B">
        <w:rPr>
          <w:sz w:val="22"/>
          <w:szCs w:val="22"/>
          <w:lang w:val="en-GB"/>
        </w:rPr>
        <w:t xml:space="preserve">better </w:t>
      </w:r>
      <w:r w:rsidR="000A4EBD" w:rsidRPr="00F0716B">
        <w:rPr>
          <w:sz w:val="22"/>
          <w:szCs w:val="22"/>
          <w:lang w:val="en-GB"/>
        </w:rPr>
        <w:t>air quality and</w:t>
      </w:r>
      <w:r w:rsidR="00C96B16" w:rsidRPr="00F0716B">
        <w:rPr>
          <w:sz w:val="22"/>
          <w:szCs w:val="22"/>
          <w:lang w:val="en-GB"/>
        </w:rPr>
        <w:t>, thus</w:t>
      </w:r>
      <w:r w:rsidR="00680C40">
        <w:rPr>
          <w:sz w:val="22"/>
          <w:szCs w:val="22"/>
          <w:lang w:val="en-GB"/>
        </w:rPr>
        <w:t>,</w:t>
      </w:r>
      <w:r w:rsidR="000A4EBD" w:rsidRPr="00F0716B">
        <w:rPr>
          <w:sz w:val="22"/>
          <w:szCs w:val="22"/>
          <w:lang w:val="en-GB"/>
        </w:rPr>
        <w:t xml:space="preserve"> </w:t>
      </w:r>
      <w:r w:rsidR="00C96B16" w:rsidRPr="00F0716B">
        <w:rPr>
          <w:sz w:val="22"/>
          <w:szCs w:val="22"/>
          <w:lang w:val="en-GB"/>
        </w:rPr>
        <w:t xml:space="preserve">improved </w:t>
      </w:r>
      <w:r w:rsidR="000A4EBD" w:rsidRPr="00F0716B">
        <w:rPr>
          <w:sz w:val="22"/>
          <w:szCs w:val="22"/>
          <w:lang w:val="en-GB"/>
        </w:rPr>
        <w:t xml:space="preserve">health </w:t>
      </w:r>
      <w:r w:rsidR="00C96B16" w:rsidRPr="00F0716B">
        <w:rPr>
          <w:sz w:val="22"/>
          <w:szCs w:val="22"/>
          <w:lang w:val="en-GB"/>
        </w:rPr>
        <w:t>conditions indoors</w:t>
      </w:r>
      <w:r w:rsidR="000A4EBD" w:rsidRPr="00F0716B">
        <w:rPr>
          <w:sz w:val="22"/>
          <w:szCs w:val="22"/>
          <w:lang w:val="en-GB"/>
        </w:rPr>
        <w:t xml:space="preserve">. </w:t>
      </w:r>
      <w:r w:rsidR="0092189A" w:rsidRPr="00F0716B">
        <w:rPr>
          <w:sz w:val="22"/>
          <w:szCs w:val="22"/>
          <w:lang w:val="en-GB"/>
        </w:rPr>
        <w:t xml:space="preserve">The paper </w:t>
      </w:r>
      <w:r w:rsidR="00C96B16" w:rsidRPr="00F0716B">
        <w:rPr>
          <w:sz w:val="22"/>
          <w:szCs w:val="22"/>
          <w:lang w:val="en-GB"/>
        </w:rPr>
        <w:t>(</w:t>
      </w:r>
      <w:r w:rsidR="000A4EBD" w:rsidRPr="00F0716B">
        <w:rPr>
          <w:sz w:val="22"/>
          <w:szCs w:val="22"/>
          <w:lang w:val="en-GB"/>
        </w:rPr>
        <w:t>Aguilar et al.</w:t>
      </w:r>
      <w:r w:rsidR="00C96B16" w:rsidRPr="00F0716B">
        <w:rPr>
          <w:sz w:val="22"/>
          <w:szCs w:val="22"/>
          <w:lang w:val="en-GB"/>
        </w:rPr>
        <w:t xml:space="preserve"> 2022)</w:t>
      </w:r>
      <w:r w:rsidR="000A4EBD" w:rsidRPr="00F0716B">
        <w:rPr>
          <w:sz w:val="22"/>
          <w:szCs w:val="22"/>
          <w:lang w:val="en-GB"/>
        </w:rPr>
        <w:t xml:space="preserve"> assessed the ventilation rates for educational buildings in Portugal and Spain. Research shows that </w:t>
      </w:r>
      <w:r w:rsidR="0092189A" w:rsidRPr="00F0716B">
        <w:rPr>
          <w:sz w:val="22"/>
          <w:szCs w:val="22"/>
          <w:lang w:val="en-GB"/>
        </w:rPr>
        <w:t>proper</w:t>
      </w:r>
      <w:r w:rsidR="000A4EBD" w:rsidRPr="00F0716B">
        <w:rPr>
          <w:sz w:val="22"/>
          <w:szCs w:val="22"/>
          <w:lang w:val="en-GB"/>
        </w:rPr>
        <w:t xml:space="preserve"> ventilation can guarantee adequate air exchange and</w:t>
      </w:r>
      <w:r w:rsidR="0092189A" w:rsidRPr="00F0716B">
        <w:rPr>
          <w:sz w:val="22"/>
          <w:szCs w:val="22"/>
          <w:lang w:val="en-GB"/>
        </w:rPr>
        <w:t>,</w:t>
      </w:r>
      <w:r w:rsidR="000A4EBD" w:rsidRPr="00F0716B">
        <w:rPr>
          <w:sz w:val="22"/>
          <w:szCs w:val="22"/>
          <w:lang w:val="en-GB"/>
        </w:rPr>
        <w:t xml:space="preserve"> thus</w:t>
      </w:r>
      <w:r w:rsidR="00680C40">
        <w:rPr>
          <w:sz w:val="22"/>
          <w:szCs w:val="22"/>
          <w:lang w:val="en-GB"/>
        </w:rPr>
        <w:t>,</w:t>
      </w:r>
      <w:r w:rsidR="000A4EBD" w:rsidRPr="00F0716B">
        <w:rPr>
          <w:sz w:val="22"/>
          <w:szCs w:val="22"/>
          <w:lang w:val="en-GB"/>
        </w:rPr>
        <w:t xml:space="preserve"> keep the risk of infection low.</w:t>
      </w:r>
    </w:p>
    <w:p w14:paraId="00A1B848" w14:textId="77777777" w:rsidR="00C13EBC" w:rsidRPr="00F0716B" w:rsidRDefault="00C86AA3" w:rsidP="00FC6DA2">
      <w:pPr>
        <w:ind w:firstLine="284"/>
        <w:jc w:val="both"/>
        <w:rPr>
          <w:sz w:val="22"/>
          <w:szCs w:val="22"/>
          <w:lang w:val="en-GB"/>
        </w:rPr>
      </w:pPr>
      <w:r w:rsidRPr="00F0716B">
        <w:rPr>
          <w:sz w:val="22"/>
          <w:szCs w:val="22"/>
          <w:lang w:val="en-GB"/>
        </w:rPr>
        <w:t>Sick building syndrome can be considered a</w:t>
      </w:r>
      <w:r w:rsidR="00876BB2" w:rsidRPr="00F0716B">
        <w:rPr>
          <w:sz w:val="22"/>
          <w:szCs w:val="22"/>
          <w:lang w:val="en-GB"/>
        </w:rPr>
        <w:t>n even more</w:t>
      </w:r>
      <w:r w:rsidRPr="00F0716B">
        <w:rPr>
          <w:sz w:val="22"/>
          <w:szCs w:val="22"/>
          <w:lang w:val="en-GB"/>
        </w:rPr>
        <w:t xml:space="preserve"> se</w:t>
      </w:r>
      <w:r w:rsidR="00680C40">
        <w:rPr>
          <w:sz w:val="22"/>
          <w:szCs w:val="22"/>
          <w:lang w:val="en-GB"/>
        </w:rPr>
        <w:t>vere</w:t>
      </w:r>
      <w:r w:rsidRPr="00F0716B">
        <w:rPr>
          <w:sz w:val="22"/>
          <w:szCs w:val="22"/>
          <w:lang w:val="en-GB"/>
        </w:rPr>
        <w:t xml:space="preserve"> problem if it affects </w:t>
      </w:r>
      <w:r w:rsidR="00680C40">
        <w:rPr>
          <w:sz w:val="22"/>
          <w:szCs w:val="22"/>
          <w:lang w:val="en-GB"/>
        </w:rPr>
        <w:t>room users' well–being</w:t>
      </w:r>
      <w:r w:rsidRPr="00F0716B">
        <w:rPr>
          <w:sz w:val="22"/>
          <w:szCs w:val="22"/>
          <w:lang w:val="en-GB"/>
        </w:rPr>
        <w:t xml:space="preserve">. </w:t>
      </w:r>
      <w:r w:rsidRPr="00C1031F">
        <w:rPr>
          <w:spacing w:val="-2"/>
          <w:sz w:val="22"/>
          <w:szCs w:val="22"/>
          <w:lang w:val="en-GB"/>
        </w:rPr>
        <w:t>Naturally, it is a complicated issue and involves the heating systems</w:t>
      </w:r>
      <w:r w:rsidR="00680C40">
        <w:rPr>
          <w:spacing w:val="-2"/>
          <w:sz w:val="22"/>
          <w:szCs w:val="22"/>
          <w:lang w:val="en-GB"/>
        </w:rPr>
        <w:t>'</w:t>
      </w:r>
      <w:r w:rsidRPr="00C1031F">
        <w:rPr>
          <w:spacing w:val="-2"/>
          <w:sz w:val="22"/>
          <w:szCs w:val="22"/>
          <w:lang w:val="en-GB"/>
        </w:rPr>
        <w:t xml:space="preserve"> operation</w:t>
      </w:r>
      <w:r w:rsidR="00C13EBC" w:rsidRPr="00C1031F">
        <w:rPr>
          <w:spacing w:val="-2"/>
          <w:sz w:val="22"/>
          <w:szCs w:val="22"/>
          <w:lang w:val="en-GB"/>
        </w:rPr>
        <w:t xml:space="preserve"> (</w:t>
      </w:r>
      <w:proofErr w:type="spellStart"/>
      <w:r w:rsidR="00C13EBC" w:rsidRPr="00C1031F">
        <w:rPr>
          <w:spacing w:val="-2"/>
          <w:sz w:val="22"/>
          <w:szCs w:val="22"/>
          <w:lang w:val="en-GB"/>
        </w:rPr>
        <w:t>Wojtkowiak</w:t>
      </w:r>
      <w:proofErr w:type="spellEnd"/>
      <w:r w:rsidR="00C13EBC" w:rsidRPr="00C1031F">
        <w:rPr>
          <w:spacing w:val="-2"/>
          <w:sz w:val="22"/>
          <w:szCs w:val="22"/>
          <w:lang w:val="en-GB"/>
        </w:rPr>
        <w:t xml:space="preserve"> &amp;</w:t>
      </w:r>
      <w:r w:rsidR="0043150E" w:rsidRPr="00C1031F">
        <w:rPr>
          <w:spacing w:val="-2"/>
          <w:sz w:val="22"/>
          <w:szCs w:val="22"/>
          <w:lang w:val="en-GB"/>
        </w:rPr>
        <w:t> </w:t>
      </w:r>
      <w:proofErr w:type="spellStart"/>
      <w:r w:rsidR="00C13EBC" w:rsidRPr="00C1031F">
        <w:rPr>
          <w:spacing w:val="-2"/>
          <w:sz w:val="22"/>
          <w:szCs w:val="22"/>
          <w:lang w:val="en-GB"/>
        </w:rPr>
        <w:t>Amanowicz</w:t>
      </w:r>
      <w:proofErr w:type="spellEnd"/>
      <w:r w:rsidR="00C13EBC" w:rsidRPr="00C1031F">
        <w:rPr>
          <w:spacing w:val="-2"/>
          <w:sz w:val="22"/>
          <w:szCs w:val="22"/>
          <w:lang w:val="en-GB"/>
        </w:rPr>
        <w:t xml:space="preserve"> 2020, </w:t>
      </w:r>
      <w:proofErr w:type="spellStart"/>
      <w:r w:rsidR="00C13EBC" w:rsidRPr="00C1031F">
        <w:rPr>
          <w:spacing w:val="-2"/>
          <w:sz w:val="22"/>
          <w:szCs w:val="22"/>
          <w:lang w:val="en-GB"/>
        </w:rPr>
        <w:t>Amanowicz</w:t>
      </w:r>
      <w:proofErr w:type="spellEnd"/>
      <w:r w:rsidR="00C13EBC" w:rsidRPr="00C1031F">
        <w:rPr>
          <w:spacing w:val="-2"/>
          <w:sz w:val="22"/>
          <w:szCs w:val="22"/>
          <w:lang w:val="en-GB"/>
        </w:rPr>
        <w:t xml:space="preserve"> &amp; </w:t>
      </w:r>
      <w:proofErr w:type="spellStart"/>
      <w:r w:rsidR="00C13EBC" w:rsidRPr="00C1031F">
        <w:rPr>
          <w:spacing w:val="-2"/>
          <w:sz w:val="22"/>
          <w:szCs w:val="22"/>
          <w:lang w:val="en-GB"/>
        </w:rPr>
        <w:t>Wojtkowiak</w:t>
      </w:r>
      <w:proofErr w:type="spellEnd"/>
      <w:r w:rsidR="00C13EBC" w:rsidRPr="00C1031F">
        <w:rPr>
          <w:spacing w:val="-2"/>
          <w:sz w:val="22"/>
          <w:szCs w:val="22"/>
          <w:lang w:val="en-GB"/>
        </w:rPr>
        <w:t xml:space="preserve"> 2021)</w:t>
      </w:r>
      <w:r w:rsidRPr="00C1031F">
        <w:rPr>
          <w:spacing w:val="-2"/>
          <w:sz w:val="22"/>
          <w:szCs w:val="22"/>
          <w:lang w:val="en-GB"/>
        </w:rPr>
        <w:t xml:space="preserve"> a</w:t>
      </w:r>
      <w:r w:rsidR="00680C40">
        <w:rPr>
          <w:spacing w:val="-2"/>
          <w:sz w:val="22"/>
          <w:szCs w:val="22"/>
          <w:lang w:val="en-GB"/>
        </w:rPr>
        <w:t>nd</w:t>
      </w:r>
      <w:r w:rsidR="00C13EBC" w:rsidRPr="00C1031F">
        <w:rPr>
          <w:spacing w:val="-2"/>
          <w:sz w:val="22"/>
          <w:szCs w:val="22"/>
          <w:lang w:val="en-GB"/>
        </w:rPr>
        <w:t xml:space="preserve"> ventilation air filtering processes (</w:t>
      </w:r>
      <w:proofErr w:type="spellStart"/>
      <w:r w:rsidR="00C13EBC" w:rsidRPr="00C1031F">
        <w:rPr>
          <w:spacing w:val="-2"/>
          <w:sz w:val="22"/>
          <w:szCs w:val="22"/>
          <w:lang w:val="en-GB"/>
        </w:rPr>
        <w:t>Dąbek</w:t>
      </w:r>
      <w:proofErr w:type="spellEnd"/>
      <w:r w:rsidR="00C13EBC" w:rsidRPr="00C1031F">
        <w:rPr>
          <w:spacing w:val="-2"/>
          <w:sz w:val="22"/>
          <w:szCs w:val="22"/>
          <w:lang w:val="en-GB"/>
        </w:rPr>
        <w:t xml:space="preserve"> et</w:t>
      </w:r>
      <w:r w:rsidR="00C1031F">
        <w:rPr>
          <w:spacing w:val="-2"/>
          <w:sz w:val="22"/>
          <w:szCs w:val="22"/>
          <w:lang w:val="en-GB"/>
        </w:rPr>
        <w:t> </w:t>
      </w:r>
      <w:r w:rsidR="00C13EBC" w:rsidRPr="00C1031F">
        <w:rPr>
          <w:spacing w:val="-2"/>
          <w:sz w:val="22"/>
          <w:szCs w:val="22"/>
          <w:lang w:val="en-GB"/>
        </w:rPr>
        <w:t xml:space="preserve">al. 2002, </w:t>
      </w:r>
      <w:proofErr w:type="spellStart"/>
      <w:r w:rsidR="00F315CD" w:rsidRPr="00C1031F">
        <w:rPr>
          <w:spacing w:val="-2"/>
          <w:sz w:val="22"/>
          <w:szCs w:val="22"/>
          <w:lang w:val="en-GB"/>
        </w:rPr>
        <w:t>Dąbek</w:t>
      </w:r>
      <w:proofErr w:type="spellEnd"/>
      <w:r w:rsidR="00F315CD" w:rsidRPr="00C1031F">
        <w:rPr>
          <w:spacing w:val="-2"/>
          <w:sz w:val="22"/>
          <w:szCs w:val="22"/>
          <w:lang w:val="en-GB"/>
        </w:rPr>
        <w:t xml:space="preserve"> et al. 2012</w:t>
      </w:r>
      <w:r w:rsidR="00C13EBC" w:rsidRPr="00C1031F">
        <w:rPr>
          <w:spacing w:val="-2"/>
          <w:sz w:val="22"/>
          <w:szCs w:val="22"/>
          <w:lang w:val="en-GB"/>
        </w:rPr>
        <w:t>).</w:t>
      </w:r>
      <w:r w:rsidRPr="00C1031F">
        <w:rPr>
          <w:spacing w:val="-2"/>
          <w:sz w:val="22"/>
          <w:szCs w:val="22"/>
          <w:lang w:val="en-GB"/>
        </w:rPr>
        <w:t xml:space="preserve"> It might also be directly or indirectly linked with </w:t>
      </w:r>
      <w:r w:rsidR="00C13EBC" w:rsidRPr="00C1031F">
        <w:rPr>
          <w:spacing w:val="-2"/>
          <w:sz w:val="22"/>
          <w:szCs w:val="22"/>
          <w:lang w:val="en-GB"/>
        </w:rPr>
        <w:t>heat transfer problems</w:t>
      </w:r>
      <w:r w:rsidR="00680C40">
        <w:rPr>
          <w:spacing w:val="-2"/>
          <w:sz w:val="22"/>
          <w:szCs w:val="22"/>
          <w:lang w:val="en-GB"/>
        </w:rPr>
        <w:t>,</w:t>
      </w:r>
      <w:r w:rsidR="00C13EBC" w:rsidRPr="00C1031F">
        <w:rPr>
          <w:spacing w:val="-2"/>
          <w:sz w:val="22"/>
          <w:szCs w:val="22"/>
          <w:lang w:val="en-GB"/>
        </w:rPr>
        <w:t xml:space="preserve"> </w:t>
      </w:r>
      <w:r w:rsidRPr="00C1031F">
        <w:rPr>
          <w:spacing w:val="-2"/>
          <w:sz w:val="22"/>
          <w:szCs w:val="22"/>
          <w:lang w:val="en-GB"/>
        </w:rPr>
        <w:t xml:space="preserve">e.g.: </w:t>
      </w:r>
      <w:r w:rsidR="00C13EBC" w:rsidRPr="00C1031F">
        <w:rPr>
          <w:spacing w:val="-2"/>
          <w:sz w:val="22"/>
          <w:szCs w:val="22"/>
          <w:lang w:val="en-GB"/>
        </w:rPr>
        <w:t>(</w:t>
      </w:r>
      <w:proofErr w:type="spellStart"/>
      <w:r w:rsidR="00D837A6" w:rsidRPr="00C1031F">
        <w:rPr>
          <w:spacing w:val="-2"/>
          <w:sz w:val="22"/>
          <w:szCs w:val="22"/>
          <w:lang w:val="en-GB"/>
        </w:rPr>
        <w:t>Koshlak</w:t>
      </w:r>
      <w:proofErr w:type="spellEnd"/>
      <w:r w:rsidR="00D837A6" w:rsidRPr="00C1031F">
        <w:rPr>
          <w:spacing w:val="-2"/>
          <w:sz w:val="22"/>
          <w:szCs w:val="22"/>
          <w:lang w:val="en-GB"/>
        </w:rPr>
        <w:t xml:space="preserve"> &amp; </w:t>
      </w:r>
      <w:proofErr w:type="spellStart"/>
      <w:r w:rsidR="00876BB2" w:rsidRPr="00C1031F">
        <w:rPr>
          <w:spacing w:val="-2"/>
          <w:sz w:val="22"/>
          <w:szCs w:val="22"/>
          <w:lang w:val="en-GB"/>
        </w:rPr>
        <w:t>Pavlenko</w:t>
      </w:r>
      <w:proofErr w:type="spellEnd"/>
      <w:r w:rsidR="00D837A6" w:rsidRPr="00C1031F">
        <w:rPr>
          <w:spacing w:val="-2"/>
          <w:sz w:val="22"/>
          <w:szCs w:val="22"/>
          <w:lang w:val="en-GB"/>
        </w:rPr>
        <w:t xml:space="preserve"> 2020, </w:t>
      </w:r>
      <w:proofErr w:type="spellStart"/>
      <w:r w:rsidR="00C13EBC" w:rsidRPr="00C1031F">
        <w:rPr>
          <w:spacing w:val="-2"/>
          <w:sz w:val="22"/>
          <w:szCs w:val="22"/>
          <w:lang w:val="en-GB"/>
        </w:rPr>
        <w:t>Pafcuga</w:t>
      </w:r>
      <w:proofErr w:type="spellEnd"/>
      <w:r w:rsidR="00C13EBC" w:rsidRPr="00C1031F">
        <w:rPr>
          <w:spacing w:val="-2"/>
          <w:sz w:val="22"/>
          <w:szCs w:val="22"/>
          <w:lang w:val="en-GB"/>
        </w:rPr>
        <w:t xml:space="preserve"> et al. 2021, </w:t>
      </w:r>
      <w:r w:rsidR="00285C68" w:rsidRPr="00C1031F">
        <w:rPr>
          <w:spacing w:val="-2"/>
          <w:sz w:val="22"/>
          <w:szCs w:val="22"/>
          <w:lang w:val="en-GB"/>
        </w:rPr>
        <w:t xml:space="preserve">Orman 2014, </w:t>
      </w:r>
      <w:proofErr w:type="spellStart"/>
      <w:r w:rsidR="00C13EBC" w:rsidRPr="00C1031F">
        <w:rPr>
          <w:spacing w:val="-2"/>
          <w:sz w:val="22"/>
          <w:szCs w:val="22"/>
          <w:lang w:val="en-GB"/>
        </w:rPr>
        <w:t>Hečko</w:t>
      </w:r>
      <w:proofErr w:type="spellEnd"/>
      <w:r w:rsidR="00C13EBC" w:rsidRPr="00C1031F">
        <w:rPr>
          <w:spacing w:val="-2"/>
          <w:sz w:val="22"/>
          <w:szCs w:val="22"/>
          <w:lang w:val="en-GB"/>
        </w:rPr>
        <w:t xml:space="preserve"> et al. 2021, </w:t>
      </w:r>
      <w:proofErr w:type="spellStart"/>
      <w:r w:rsidR="00C13EBC" w:rsidRPr="00C1031F">
        <w:rPr>
          <w:spacing w:val="-2"/>
          <w:sz w:val="22"/>
          <w:szCs w:val="22"/>
          <w:lang w:val="en-GB"/>
        </w:rPr>
        <w:t>Pavlenko</w:t>
      </w:r>
      <w:proofErr w:type="spellEnd"/>
      <w:r w:rsidR="00C13EBC" w:rsidRPr="00C1031F">
        <w:rPr>
          <w:spacing w:val="-2"/>
          <w:sz w:val="22"/>
          <w:szCs w:val="22"/>
          <w:lang w:val="en-GB"/>
        </w:rPr>
        <w:t xml:space="preserve"> 202</w:t>
      </w:r>
      <w:r w:rsidR="00FC6DA2" w:rsidRPr="00C1031F">
        <w:rPr>
          <w:spacing w:val="-2"/>
          <w:sz w:val="22"/>
          <w:szCs w:val="22"/>
          <w:lang w:val="en-GB"/>
        </w:rPr>
        <w:t>0</w:t>
      </w:r>
      <w:r w:rsidR="00C13EBC" w:rsidRPr="00C1031F">
        <w:rPr>
          <w:spacing w:val="-2"/>
          <w:sz w:val="22"/>
          <w:szCs w:val="22"/>
          <w:lang w:val="en-GB"/>
        </w:rPr>
        <w:t xml:space="preserve">, </w:t>
      </w:r>
      <w:proofErr w:type="spellStart"/>
      <w:r w:rsidR="00C13EBC" w:rsidRPr="00C1031F">
        <w:rPr>
          <w:spacing w:val="-2"/>
          <w:sz w:val="22"/>
          <w:szCs w:val="22"/>
          <w:lang w:val="en-GB"/>
        </w:rPr>
        <w:t>Pavlenko</w:t>
      </w:r>
      <w:proofErr w:type="spellEnd"/>
      <w:r w:rsidR="00C13EBC" w:rsidRPr="00C1031F">
        <w:rPr>
          <w:spacing w:val="-2"/>
          <w:sz w:val="22"/>
          <w:szCs w:val="22"/>
          <w:lang w:val="en-GB"/>
        </w:rPr>
        <w:t xml:space="preserve"> &amp;</w:t>
      </w:r>
      <w:r w:rsidR="0043150E" w:rsidRPr="00C1031F">
        <w:rPr>
          <w:spacing w:val="-2"/>
          <w:sz w:val="22"/>
          <w:szCs w:val="22"/>
          <w:lang w:val="en-GB"/>
        </w:rPr>
        <w:t> </w:t>
      </w:r>
      <w:proofErr w:type="spellStart"/>
      <w:r w:rsidR="00C13EBC" w:rsidRPr="00C1031F">
        <w:rPr>
          <w:spacing w:val="-2"/>
          <w:sz w:val="22"/>
          <w:szCs w:val="22"/>
          <w:lang w:val="en-GB"/>
        </w:rPr>
        <w:t>Koshlak</w:t>
      </w:r>
      <w:proofErr w:type="spellEnd"/>
      <w:r w:rsidR="00C13EBC" w:rsidRPr="00C1031F">
        <w:rPr>
          <w:spacing w:val="-2"/>
          <w:sz w:val="22"/>
          <w:szCs w:val="22"/>
          <w:lang w:val="en-GB"/>
        </w:rPr>
        <w:t xml:space="preserve"> 202</w:t>
      </w:r>
      <w:r w:rsidR="00FC6DA2" w:rsidRPr="00C1031F">
        <w:rPr>
          <w:spacing w:val="-2"/>
          <w:sz w:val="22"/>
          <w:szCs w:val="22"/>
          <w:lang w:val="en-GB"/>
        </w:rPr>
        <w:t>1</w:t>
      </w:r>
      <w:r w:rsidR="00C13EBC" w:rsidRPr="00C1031F">
        <w:rPr>
          <w:spacing w:val="-2"/>
          <w:sz w:val="22"/>
          <w:szCs w:val="22"/>
          <w:lang w:val="en-GB"/>
        </w:rPr>
        <w:t>)</w:t>
      </w:r>
      <w:r w:rsidR="00876BB2" w:rsidRPr="00C1031F">
        <w:rPr>
          <w:spacing w:val="-2"/>
          <w:sz w:val="22"/>
          <w:szCs w:val="22"/>
          <w:lang w:val="en-GB"/>
        </w:rPr>
        <w:t xml:space="preserve"> and</w:t>
      </w:r>
      <w:r w:rsidR="00285C68" w:rsidRPr="00C1031F">
        <w:rPr>
          <w:spacing w:val="-2"/>
          <w:sz w:val="22"/>
          <w:szCs w:val="22"/>
          <w:lang w:val="en-GB"/>
        </w:rPr>
        <w:t xml:space="preserve"> especially phase – change phenomena (</w:t>
      </w:r>
      <w:proofErr w:type="spellStart"/>
      <w:r w:rsidR="00285C68" w:rsidRPr="00C1031F">
        <w:rPr>
          <w:spacing w:val="-2"/>
          <w:sz w:val="22"/>
          <w:szCs w:val="22"/>
          <w:lang w:val="en-GB"/>
        </w:rPr>
        <w:t>Chatys</w:t>
      </w:r>
      <w:proofErr w:type="spellEnd"/>
      <w:r w:rsidR="00285C68" w:rsidRPr="00C1031F">
        <w:rPr>
          <w:spacing w:val="-2"/>
          <w:sz w:val="22"/>
          <w:szCs w:val="22"/>
          <w:lang w:val="en-GB"/>
        </w:rPr>
        <w:t xml:space="preserve"> &amp; Orman 2017, Orman &amp; </w:t>
      </w:r>
      <w:proofErr w:type="spellStart"/>
      <w:r w:rsidR="00285C68" w:rsidRPr="00C1031F">
        <w:rPr>
          <w:spacing w:val="-2"/>
          <w:sz w:val="22"/>
          <w:szCs w:val="22"/>
          <w:lang w:val="en-GB"/>
        </w:rPr>
        <w:t>Chatys</w:t>
      </w:r>
      <w:proofErr w:type="spellEnd"/>
      <w:r w:rsidR="00285C68" w:rsidRPr="00C1031F">
        <w:rPr>
          <w:spacing w:val="-2"/>
          <w:sz w:val="22"/>
          <w:szCs w:val="22"/>
          <w:lang w:val="en-GB"/>
        </w:rPr>
        <w:t xml:space="preserve"> 2011)</w:t>
      </w:r>
      <w:r w:rsidR="00C13EBC" w:rsidRPr="00C1031F">
        <w:rPr>
          <w:spacing w:val="-2"/>
          <w:sz w:val="22"/>
          <w:szCs w:val="22"/>
          <w:lang w:val="en-GB"/>
        </w:rPr>
        <w:t>.</w:t>
      </w:r>
    </w:p>
    <w:p w14:paraId="57275FF9" w14:textId="77777777" w:rsidR="002B29F2" w:rsidRPr="00F0716B" w:rsidRDefault="000A4EBD" w:rsidP="00C13EBC">
      <w:pPr>
        <w:ind w:firstLine="284"/>
        <w:jc w:val="both"/>
        <w:rPr>
          <w:sz w:val="22"/>
          <w:szCs w:val="22"/>
          <w:lang w:val="en-GB"/>
        </w:rPr>
      </w:pPr>
      <w:r w:rsidRPr="00F0716B">
        <w:rPr>
          <w:sz w:val="22"/>
          <w:szCs w:val="22"/>
          <w:lang w:val="en-GB"/>
        </w:rPr>
        <w:t xml:space="preserve">From the </w:t>
      </w:r>
      <w:r w:rsidR="00876BB2" w:rsidRPr="00F0716B">
        <w:rPr>
          <w:sz w:val="22"/>
          <w:szCs w:val="22"/>
          <w:lang w:val="en-GB"/>
        </w:rPr>
        <w:t>above</w:t>
      </w:r>
      <w:r w:rsidR="00680C40">
        <w:rPr>
          <w:sz w:val="22"/>
          <w:szCs w:val="22"/>
          <w:lang w:val="en-GB"/>
        </w:rPr>
        <w:t>-</w:t>
      </w:r>
      <w:r w:rsidRPr="00F0716B">
        <w:rPr>
          <w:sz w:val="22"/>
          <w:szCs w:val="22"/>
          <w:lang w:val="en-GB"/>
        </w:rPr>
        <w:t>presented literature</w:t>
      </w:r>
      <w:r w:rsidR="00876BB2" w:rsidRPr="00F0716B">
        <w:rPr>
          <w:sz w:val="22"/>
          <w:szCs w:val="22"/>
          <w:lang w:val="en-GB"/>
        </w:rPr>
        <w:t xml:space="preserve"> review</w:t>
      </w:r>
      <w:r w:rsidRPr="00F0716B">
        <w:rPr>
          <w:sz w:val="22"/>
          <w:szCs w:val="22"/>
          <w:lang w:val="en-GB"/>
        </w:rPr>
        <w:t>, it is worth noting how common the symptoms of SBS are</w:t>
      </w:r>
      <w:r w:rsidR="00680C40">
        <w:rPr>
          <w:sz w:val="22"/>
          <w:szCs w:val="22"/>
          <w:lang w:val="en-GB"/>
        </w:rPr>
        <w:t>;</w:t>
      </w:r>
      <w:r w:rsidRPr="00F0716B">
        <w:rPr>
          <w:sz w:val="22"/>
          <w:szCs w:val="22"/>
          <w:lang w:val="en-GB"/>
        </w:rPr>
        <w:t xml:space="preserve"> however</w:t>
      </w:r>
      <w:r w:rsidR="00680C40">
        <w:rPr>
          <w:sz w:val="22"/>
          <w:szCs w:val="22"/>
          <w:lang w:val="en-GB"/>
        </w:rPr>
        <w:t>,</w:t>
      </w:r>
      <w:r w:rsidRPr="00F0716B">
        <w:rPr>
          <w:sz w:val="22"/>
          <w:szCs w:val="22"/>
          <w:lang w:val="en-GB"/>
        </w:rPr>
        <w:t xml:space="preserve"> a combined assessment of SBS problems and thermal comfort </w:t>
      </w:r>
      <w:r w:rsidR="001F2AFC" w:rsidRPr="00F0716B">
        <w:rPr>
          <w:sz w:val="22"/>
          <w:szCs w:val="22"/>
          <w:lang w:val="en-GB"/>
        </w:rPr>
        <w:t xml:space="preserve">in Polish conditions </w:t>
      </w:r>
      <w:r w:rsidRPr="00F0716B">
        <w:rPr>
          <w:sz w:val="22"/>
          <w:szCs w:val="22"/>
          <w:lang w:val="en-GB"/>
        </w:rPr>
        <w:t xml:space="preserve">has not been found in </w:t>
      </w:r>
      <w:r w:rsidR="00680C40">
        <w:rPr>
          <w:sz w:val="22"/>
          <w:szCs w:val="22"/>
          <w:lang w:val="en-GB"/>
        </w:rPr>
        <w:t xml:space="preserve">the </w:t>
      </w:r>
      <w:r w:rsidRPr="00F0716B">
        <w:rPr>
          <w:sz w:val="22"/>
          <w:szCs w:val="22"/>
          <w:lang w:val="en-GB"/>
        </w:rPr>
        <w:t>literature</w:t>
      </w:r>
      <w:r w:rsidR="001F2AFC" w:rsidRPr="00F0716B">
        <w:rPr>
          <w:sz w:val="22"/>
          <w:szCs w:val="22"/>
          <w:lang w:val="en-GB"/>
        </w:rPr>
        <w:t xml:space="preserve"> (although in Poland</w:t>
      </w:r>
      <w:r w:rsidR="00680C40">
        <w:rPr>
          <w:sz w:val="22"/>
          <w:szCs w:val="22"/>
          <w:lang w:val="en-GB"/>
        </w:rPr>
        <w:t>,</w:t>
      </w:r>
      <w:r w:rsidR="001F2AFC" w:rsidRPr="00F0716B">
        <w:rPr>
          <w:sz w:val="22"/>
          <w:szCs w:val="22"/>
          <w:lang w:val="en-GB"/>
        </w:rPr>
        <w:t xml:space="preserve"> studies on </w:t>
      </w:r>
      <w:r w:rsidR="00680C40">
        <w:rPr>
          <w:sz w:val="22"/>
          <w:szCs w:val="22"/>
          <w:lang w:val="en-GB"/>
        </w:rPr>
        <w:t xml:space="preserve">the </w:t>
      </w:r>
      <w:r w:rsidR="001F2AFC" w:rsidRPr="00F0716B">
        <w:rPr>
          <w:sz w:val="22"/>
          <w:szCs w:val="22"/>
          <w:lang w:val="en-GB"/>
        </w:rPr>
        <w:t>indoor environment can be found, e.g.: (</w:t>
      </w:r>
      <w:proofErr w:type="spellStart"/>
      <w:r w:rsidR="001F2AFC" w:rsidRPr="00F0716B">
        <w:rPr>
          <w:sz w:val="22"/>
          <w:szCs w:val="22"/>
          <w:lang w:val="en-GB"/>
        </w:rPr>
        <w:t>Dudkiewicz</w:t>
      </w:r>
      <w:proofErr w:type="spellEnd"/>
      <w:r w:rsidR="001F2AFC" w:rsidRPr="00F0716B">
        <w:rPr>
          <w:sz w:val="22"/>
          <w:szCs w:val="22"/>
          <w:lang w:val="en-GB"/>
        </w:rPr>
        <w:t xml:space="preserve"> &amp; </w:t>
      </w:r>
      <w:proofErr w:type="spellStart"/>
      <w:r w:rsidR="001F2AFC" w:rsidRPr="00F0716B">
        <w:rPr>
          <w:sz w:val="22"/>
          <w:szCs w:val="22"/>
          <w:lang w:val="en-GB"/>
        </w:rPr>
        <w:t>Jeżowiecki</w:t>
      </w:r>
      <w:proofErr w:type="spellEnd"/>
      <w:r w:rsidR="001F2AFC" w:rsidRPr="00F0716B">
        <w:rPr>
          <w:sz w:val="22"/>
          <w:szCs w:val="22"/>
          <w:lang w:val="en-GB"/>
        </w:rPr>
        <w:t xml:space="preserve"> 2009, </w:t>
      </w:r>
      <w:proofErr w:type="spellStart"/>
      <w:r w:rsidR="001F2AFC" w:rsidRPr="00F0716B">
        <w:rPr>
          <w:sz w:val="22"/>
          <w:szCs w:val="22"/>
          <w:lang w:val="en-GB"/>
        </w:rPr>
        <w:t>Maliszewska</w:t>
      </w:r>
      <w:proofErr w:type="spellEnd"/>
      <w:r w:rsidR="001F2AFC" w:rsidRPr="00F0716B">
        <w:rPr>
          <w:sz w:val="22"/>
          <w:szCs w:val="22"/>
          <w:lang w:val="en-GB"/>
        </w:rPr>
        <w:t xml:space="preserve"> et al. 2019)</w:t>
      </w:r>
      <w:r w:rsidRPr="00F0716B">
        <w:rPr>
          <w:sz w:val="22"/>
          <w:szCs w:val="22"/>
          <w:lang w:val="en-GB"/>
        </w:rPr>
        <w:t xml:space="preserve">. </w:t>
      </w:r>
      <w:r w:rsidRPr="00C1031F">
        <w:rPr>
          <w:spacing w:val="-2"/>
          <w:sz w:val="22"/>
          <w:szCs w:val="22"/>
          <w:lang w:val="en-GB"/>
        </w:rPr>
        <w:t xml:space="preserve">The article focuses on the sensations of </w:t>
      </w:r>
      <w:r w:rsidR="00C13EBC" w:rsidRPr="00C1031F">
        <w:rPr>
          <w:spacing w:val="-2"/>
          <w:sz w:val="22"/>
          <w:szCs w:val="22"/>
          <w:lang w:val="en-GB"/>
        </w:rPr>
        <w:t xml:space="preserve">a large group of </w:t>
      </w:r>
      <w:r w:rsidRPr="00C1031F">
        <w:rPr>
          <w:spacing w:val="-2"/>
          <w:sz w:val="22"/>
          <w:szCs w:val="22"/>
          <w:lang w:val="en-GB"/>
        </w:rPr>
        <w:t xml:space="preserve">students </w:t>
      </w:r>
      <w:r w:rsidR="00C13EBC" w:rsidRPr="00C1031F">
        <w:rPr>
          <w:spacing w:val="-2"/>
          <w:sz w:val="22"/>
          <w:szCs w:val="22"/>
          <w:lang w:val="en-GB"/>
        </w:rPr>
        <w:t xml:space="preserve">in one </w:t>
      </w:r>
      <w:r w:rsidR="00680C40">
        <w:rPr>
          <w:spacing w:val="-2"/>
          <w:sz w:val="22"/>
          <w:szCs w:val="22"/>
          <w:lang w:val="en-GB"/>
        </w:rPr>
        <w:t>Kielce University of Technology lecture theatre. Four ailments are</w:t>
      </w:r>
      <w:r w:rsidRPr="00C1031F">
        <w:rPr>
          <w:spacing w:val="-2"/>
          <w:sz w:val="22"/>
          <w:szCs w:val="22"/>
          <w:lang w:val="en-GB"/>
        </w:rPr>
        <w:t xml:space="preserve"> discussed</w:t>
      </w:r>
      <w:r w:rsidR="00C13EBC" w:rsidRPr="00C1031F">
        <w:rPr>
          <w:spacing w:val="-2"/>
          <w:sz w:val="22"/>
          <w:szCs w:val="22"/>
          <w:lang w:val="en-GB"/>
        </w:rPr>
        <w:t xml:space="preserve"> and analysed</w:t>
      </w:r>
      <w:r w:rsidR="00C70CCD" w:rsidRPr="00C1031F">
        <w:rPr>
          <w:spacing w:val="-2"/>
          <w:sz w:val="22"/>
          <w:szCs w:val="22"/>
          <w:lang w:val="en-GB"/>
        </w:rPr>
        <w:t>: dizziness, nasal mucosa</w:t>
      </w:r>
      <w:r w:rsidRPr="00C1031F">
        <w:rPr>
          <w:spacing w:val="-2"/>
          <w:sz w:val="22"/>
          <w:szCs w:val="22"/>
          <w:lang w:val="en-GB"/>
        </w:rPr>
        <w:t>, nausea and eye pain.</w:t>
      </w:r>
      <w:r w:rsidR="00C13EBC" w:rsidRPr="00C1031F">
        <w:rPr>
          <w:spacing w:val="-2"/>
          <w:sz w:val="22"/>
          <w:szCs w:val="22"/>
          <w:lang w:val="en-GB"/>
        </w:rPr>
        <w:t xml:space="preserve"> The validation of the </w:t>
      </w:r>
      <w:proofErr w:type="spellStart"/>
      <w:r w:rsidR="00C13EBC" w:rsidRPr="00C1031F">
        <w:rPr>
          <w:spacing w:val="-2"/>
          <w:sz w:val="22"/>
          <w:szCs w:val="22"/>
          <w:lang w:val="en-GB"/>
        </w:rPr>
        <w:t>Fanger</w:t>
      </w:r>
      <w:proofErr w:type="spellEnd"/>
      <w:r w:rsidR="00C13EBC" w:rsidRPr="00C1031F">
        <w:rPr>
          <w:spacing w:val="-2"/>
          <w:sz w:val="22"/>
          <w:szCs w:val="22"/>
          <w:lang w:val="en-GB"/>
        </w:rPr>
        <w:t xml:space="preserve"> model will also be made.</w:t>
      </w:r>
    </w:p>
    <w:p w14:paraId="1C99A7AE" w14:textId="77777777" w:rsidR="00594219" w:rsidRPr="00F0716B" w:rsidRDefault="00594219" w:rsidP="003427D4">
      <w:pPr>
        <w:pStyle w:val="Rn1"/>
        <w:rPr>
          <w:caps/>
          <w:sz w:val="20"/>
          <w:lang w:val="en-GB"/>
        </w:rPr>
      </w:pPr>
      <w:r w:rsidRPr="00F0716B">
        <w:rPr>
          <w:lang w:val="en-GB"/>
        </w:rPr>
        <w:t>2. E</w:t>
      </w:r>
      <w:r w:rsidR="00D60C42" w:rsidRPr="00F0716B">
        <w:rPr>
          <w:lang w:val="en-GB"/>
        </w:rPr>
        <w:t xml:space="preserve">xperimental </w:t>
      </w:r>
      <w:r w:rsidR="002D5F0B">
        <w:rPr>
          <w:lang w:val="en-GB"/>
        </w:rPr>
        <w:t>S</w:t>
      </w:r>
      <w:r w:rsidR="00D60C42" w:rsidRPr="00F0716B">
        <w:rPr>
          <w:lang w:val="en-GB"/>
        </w:rPr>
        <w:t>etup</w:t>
      </w:r>
      <w:r w:rsidRPr="00F0716B">
        <w:rPr>
          <w:lang w:val="en-GB"/>
        </w:rPr>
        <w:t xml:space="preserve"> and </w:t>
      </w:r>
      <w:r w:rsidR="002D5F0B">
        <w:rPr>
          <w:lang w:val="en-GB"/>
        </w:rPr>
        <w:t>T</w:t>
      </w:r>
      <w:r w:rsidRPr="00F0716B">
        <w:rPr>
          <w:lang w:val="en-GB"/>
        </w:rPr>
        <w:t>esting</w:t>
      </w:r>
      <w:r w:rsidR="00514892" w:rsidRPr="00F0716B">
        <w:rPr>
          <w:lang w:val="en-GB"/>
        </w:rPr>
        <w:t xml:space="preserve"> </w:t>
      </w:r>
      <w:r w:rsidR="002D5F0B">
        <w:rPr>
          <w:lang w:val="en-GB"/>
        </w:rPr>
        <w:t>M</w:t>
      </w:r>
      <w:r w:rsidR="00514892" w:rsidRPr="00F0716B">
        <w:rPr>
          <w:lang w:val="en-GB"/>
        </w:rPr>
        <w:t>ethod</w:t>
      </w:r>
    </w:p>
    <w:p w14:paraId="4DC28372" w14:textId="77777777" w:rsidR="002B29F2" w:rsidRPr="00F0716B" w:rsidRDefault="00FE4AB7" w:rsidP="00A0489A">
      <w:pPr>
        <w:ind w:firstLine="284"/>
        <w:jc w:val="both"/>
        <w:rPr>
          <w:sz w:val="22"/>
          <w:szCs w:val="22"/>
          <w:lang w:val="en-GB"/>
        </w:rPr>
      </w:pPr>
      <w:r w:rsidRPr="00F0716B">
        <w:rPr>
          <w:sz w:val="22"/>
          <w:szCs w:val="22"/>
          <w:lang w:val="en-GB"/>
        </w:rPr>
        <w:t>The study was conducted in the large lecture hall of Kielce University of Technology i</w:t>
      </w:r>
      <w:r w:rsidR="00A0489A" w:rsidRPr="00F0716B">
        <w:rPr>
          <w:sz w:val="22"/>
          <w:szCs w:val="22"/>
          <w:lang w:val="en-GB"/>
        </w:rPr>
        <w:t>n the C</w:t>
      </w:r>
      <w:r w:rsidRPr="00F0716B">
        <w:rPr>
          <w:sz w:val="22"/>
          <w:szCs w:val="22"/>
          <w:lang w:val="en-GB"/>
        </w:rPr>
        <w:t>entral-</w:t>
      </w:r>
      <w:r w:rsidR="00A0489A" w:rsidRPr="00F0716B">
        <w:rPr>
          <w:sz w:val="22"/>
          <w:szCs w:val="22"/>
          <w:lang w:val="en-GB"/>
        </w:rPr>
        <w:t>E</w:t>
      </w:r>
      <w:r w:rsidRPr="00F0716B">
        <w:rPr>
          <w:sz w:val="22"/>
          <w:szCs w:val="22"/>
          <w:lang w:val="en-GB"/>
        </w:rPr>
        <w:t xml:space="preserve">astern part of Poland. The environmental measurement was made with an Italian microclimate meter BABUC-A, which collected data on the current air temperature, carbon dioxide content, relative humidity, </w:t>
      </w:r>
      <w:r w:rsidR="00680C40">
        <w:rPr>
          <w:sz w:val="22"/>
          <w:szCs w:val="22"/>
          <w:lang w:val="en-GB"/>
        </w:rPr>
        <w:t xml:space="preserve">and </w:t>
      </w:r>
      <w:r w:rsidR="00876BB2" w:rsidRPr="00F0716B">
        <w:rPr>
          <w:sz w:val="22"/>
          <w:szCs w:val="22"/>
          <w:lang w:val="en-GB"/>
        </w:rPr>
        <w:t>airflow velocity</w:t>
      </w:r>
      <w:r w:rsidRPr="00F0716B">
        <w:rPr>
          <w:sz w:val="22"/>
          <w:szCs w:val="22"/>
          <w:lang w:val="en-GB"/>
        </w:rPr>
        <w:t>. Measurements were recorded manually</w:t>
      </w:r>
      <w:r w:rsidR="00680C40">
        <w:rPr>
          <w:sz w:val="22"/>
          <w:szCs w:val="22"/>
          <w:lang w:val="en-GB"/>
        </w:rPr>
        <w:t>,</w:t>
      </w:r>
      <w:r w:rsidRPr="00F0716B">
        <w:rPr>
          <w:sz w:val="22"/>
          <w:szCs w:val="22"/>
          <w:lang w:val="en-GB"/>
        </w:rPr>
        <w:t xml:space="preserve"> and the measurement time was about 1 hour. While the meter was collecting microclimate data, at the same time, questionnaires were distributed to </w:t>
      </w:r>
      <w:r w:rsidR="00285C68" w:rsidRPr="00F0716B">
        <w:rPr>
          <w:sz w:val="22"/>
          <w:szCs w:val="22"/>
          <w:lang w:val="en-GB"/>
        </w:rPr>
        <w:t>sixty</w:t>
      </w:r>
      <w:r w:rsidR="00680C40">
        <w:rPr>
          <w:sz w:val="22"/>
          <w:szCs w:val="22"/>
          <w:lang w:val="en-GB"/>
        </w:rPr>
        <w:t>-nine students, who voluntarily answered questions about the indoor environment, particularly</w:t>
      </w:r>
      <w:r w:rsidRPr="00F0716B">
        <w:rPr>
          <w:sz w:val="22"/>
          <w:szCs w:val="22"/>
          <w:lang w:val="en-GB"/>
        </w:rPr>
        <w:t xml:space="preserve"> about possible sick building syndrome symptoms that they might have experienced. Figure 1 presents the lecture room after the</w:t>
      </w:r>
      <w:r w:rsidR="00751A0E">
        <w:rPr>
          <w:sz w:val="22"/>
          <w:szCs w:val="22"/>
          <w:lang w:val="en-GB"/>
        </w:rPr>
        <w:t> </w:t>
      </w:r>
      <w:r w:rsidRPr="00F0716B">
        <w:rPr>
          <w:sz w:val="22"/>
          <w:szCs w:val="22"/>
          <w:lang w:val="en-GB"/>
        </w:rPr>
        <w:t>measurement with the questionnaires located on the desks, marking the location of the respondents during the test.</w:t>
      </w:r>
    </w:p>
    <w:p w14:paraId="3A397FF6" w14:textId="77777777" w:rsidR="002B29F2" w:rsidRPr="00F0716B" w:rsidRDefault="002B29F2" w:rsidP="009301ED">
      <w:pPr>
        <w:pStyle w:val="Paragraph"/>
        <w:rPr>
          <w:lang w:val="en-GB"/>
        </w:rPr>
      </w:pPr>
    </w:p>
    <w:p w14:paraId="4AEEC826" w14:textId="77777777" w:rsidR="007023D7" w:rsidRPr="00F0716B" w:rsidRDefault="00CD5251" w:rsidP="00D60C42">
      <w:pPr>
        <w:spacing w:after="120"/>
        <w:jc w:val="center"/>
        <w:rPr>
          <w:b/>
          <w:caps/>
          <w:sz w:val="20"/>
          <w:lang w:val="en-GB"/>
        </w:rPr>
      </w:pPr>
      <w:r>
        <w:rPr>
          <w:b/>
          <w:caps/>
          <w:sz w:val="20"/>
          <w:lang w:val="en-GB"/>
        </w:rPr>
        <w:pict w14:anchorId="4C6FCC35">
          <v:shape id="_x0000_i1025" type="#_x0000_t75" style="width:289.5pt;height:212.5pt">
            <v:imagedata r:id="rId8" o:title="fig1"/>
          </v:shape>
        </w:pict>
      </w:r>
    </w:p>
    <w:p w14:paraId="45813418" w14:textId="77777777" w:rsidR="002B29F2" w:rsidRPr="00F0716B" w:rsidRDefault="00A333DD" w:rsidP="009301ED">
      <w:pPr>
        <w:pStyle w:val="Rrys"/>
        <w:rPr>
          <w:lang w:val="en-GB"/>
        </w:rPr>
      </w:pPr>
      <w:r w:rsidRPr="00F0716B">
        <w:rPr>
          <w:b/>
          <w:bCs/>
          <w:lang w:val="en-GB"/>
        </w:rPr>
        <w:t>Fig.</w:t>
      </w:r>
      <w:r w:rsidR="007023D7" w:rsidRPr="00F0716B">
        <w:rPr>
          <w:b/>
          <w:bCs/>
          <w:lang w:val="en-GB"/>
        </w:rPr>
        <w:t xml:space="preserve"> 1.</w:t>
      </w:r>
      <w:r w:rsidR="007023D7" w:rsidRPr="00F0716B">
        <w:rPr>
          <w:lang w:val="en-GB"/>
        </w:rPr>
        <w:t xml:space="preserve"> </w:t>
      </w:r>
      <w:r w:rsidR="00D60C42" w:rsidRPr="00F0716B">
        <w:rPr>
          <w:lang w:val="en-GB"/>
        </w:rPr>
        <w:t>Lecture room with the completed questionnaires on the des</w:t>
      </w:r>
      <w:r w:rsidR="004953E4" w:rsidRPr="00F0716B">
        <w:rPr>
          <w:lang w:val="en-GB"/>
        </w:rPr>
        <w:t>ks</w:t>
      </w:r>
    </w:p>
    <w:p w14:paraId="08B851D7" w14:textId="77777777" w:rsidR="00DA4E91" w:rsidRPr="00F0716B" w:rsidRDefault="00DA4E91" w:rsidP="00A0489A">
      <w:pPr>
        <w:ind w:firstLine="284"/>
        <w:jc w:val="both"/>
        <w:rPr>
          <w:sz w:val="22"/>
          <w:szCs w:val="22"/>
          <w:lang w:val="en-GB"/>
        </w:rPr>
      </w:pPr>
    </w:p>
    <w:p w14:paraId="222865C5" w14:textId="77777777" w:rsidR="00A06D14" w:rsidRPr="00F0716B" w:rsidRDefault="00A06D14" w:rsidP="00A0489A">
      <w:pPr>
        <w:ind w:firstLine="284"/>
        <w:jc w:val="both"/>
        <w:rPr>
          <w:sz w:val="22"/>
          <w:szCs w:val="22"/>
          <w:lang w:val="en-GB"/>
        </w:rPr>
      </w:pPr>
      <w:r w:rsidRPr="00F0716B">
        <w:rPr>
          <w:sz w:val="22"/>
          <w:szCs w:val="22"/>
          <w:lang w:val="en-GB"/>
        </w:rPr>
        <w:t xml:space="preserve">There </w:t>
      </w:r>
      <w:r w:rsidR="00A0489A" w:rsidRPr="00F0716B">
        <w:rPr>
          <w:sz w:val="22"/>
          <w:szCs w:val="22"/>
          <w:lang w:val="en-GB"/>
        </w:rPr>
        <w:t>were</w:t>
      </w:r>
      <w:r w:rsidRPr="00F0716B">
        <w:rPr>
          <w:sz w:val="22"/>
          <w:szCs w:val="22"/>
          <w:lang w:val="en-GB"/>
        </w:rPr>
        <w:t xml:space="preserve"> 135 seats in the lecture room, of which 51% were taken during the testing. The surface area </w:t>
      </w:r>
      <w:r w:rsidR="00680C40">
        <w:rPr>
          <w:sz w:val="22"/>
          <w:szCs w:val="22"/>
          <w:lang w:val="en-GB"/>
        </w:rPr>
        <w:t>is</w:t>
      </w:r>
      <w:r w:rsidRPr="00F0716B">
        <w:rPr>
          <w:sz w:val="22"/>
          <w:szCs w:val="22"/>
          <w:lang w:val="en-GB"/>
        </w:rPr>
        <w:t xml:space="preserve"> 107.1 m</w:t>
      </w:r>
      <w:r w:rsidRPr="00F0716B">
        <w:rPr>
          <w:sz w:val="22"/>
          <w:szCs w:val="22"/>
          <w:vertAlign w:val="superscript"/>
          <w:lang w:val="en-GB"/>
        </w:rPr>
        <w:t>2</w:t>
      </w:r>
      <w:r w:rsidR="000A16CB" w:rsidRPr="00F0716B">
        <w:rPr>
          <w:sz w:val="22"/>
          <w:szCs w:val="22"/>
          <w:lang w:val="en-GB"/>
        </w:rPr>
        <w:t xml:space="preserve">, while the cubature </w:t>
      </w:r>
      <w:r w:rsidR="00680C40">
        <w:rPr>
          <w:sz w:val="22"/>
          <w:szCs w:val="22"/>
          <w:lang w:val="en-GB"/>
        </w:rPr>
        <w:t xml:space="preserve">is </w:t>
      </w:r>
      <w:r w:rsidRPr="00F0716B">
        <w:rPr>
          <w:sz w:val="22"/>
          <w:szCs w:val="22"/>
          <w:lang w:val="en-GB"/>
        </w:rPr>
        <w:t>344.3 m</w:t>
      </w:r>
      <w:r w:rsidRPr="00F0716B">
        <w:rPr>
          <w:sz w:val="22"/>
          <w:szCs w:val="22"/>
          <w:vertAlign w:val="superscript"/>
          <w:lang w:val="en-GB"/>
        </w:rPr>
        <w:t>3</w:t>
      </w:r>
      <w:r w:rsidR="001321A0" w:rsidRPr="00F0716B">
        <w:rPr>
          <w:sz w:val="22"/>
          <w:szCs w:val="22"/>
          <w:lang w:val="en-GB"/>
        </w:rPr>
        <w:t xml:space="preserve">. </w:t>
      </w:r>
      <w:r w:rsidR="00680C40">
        <w:rPr>
          <w:sz w:val="22"/>
          <w:szCs w:val="22"/>
          <w:lang w:val="en-GB"/>
        </w:rPr>
        <w:t>One large window facing South had a surface area of</w:t>
      </w:r>
      <w:r w:rsidR="001321A0" w:rsidRPr="00F0716B">
        <w:rPr>
          <w:sz w:val="22"/>
          <w:szCs w:val="22"/>
          <w:lang w:val="en-GB"/>
        </w:rPr>
        <w:t xml:space="preserve"> 2.64 m</w:t>
      </w:r>
      <w:r w:rsidR="001321A0" w:rsidRPr="00F0716B">
        <w:rPr>
          <w:sz w:val="22"/>
          <w:szCs w:val="22"/>
          <w:vertAlign w:val="superscript"/>
          <w:lang w:val="en-GB"/>
        </w:rPr>
        <w:t>2</w:t>
      </w:r>
      <w:r w:rsidR="001321A0" w:rsidRPr="00F0716B">
        <w:rPr>
          <w:sz w:val="22"/>
          <w:szCs w:val="22"/>
          <w:lang w:val="en-GB"/>
        </w:rPr>
        <w:t xml:space="preserve">. </w:t>
      </w:r>
      <w:r w:rsidR="000A16CB" w:rsidRPr="00F0716B">
        <w:rPr>
          <w:sz w:val="22"/>
          <w:szCs w:val="22"/>
          <w:lang w:val="en-GB"/>
        </w:rPr>
        <w:t>In terms of</w:t>
      </w:r>
      <w:r w:rsidR="001321A0" w:rsidRPr="00F0716B">
        <w:rPr>
          <w:sz w:val="22"/>
          <w:szCs w:val="22"/>
          <w:lang w:val="en-GB"/>
        </w:rPr>
        <w:t xml:space="preserve"> </w:t>
      </w:r>
      <w:r w:rsidR="000A16CB" w:rsidRPr="00F0716B">
        <w:rPr>
          <w:sz w:val="22"/>
          <w:szCs w:val="22"/>
          <w:lang w:val="en-GB"/>
        </w:rPr>
        <w:t xml:space="preserve">the </w:t>
      </w:r>
      <w:r w:rsidR="001321A0" w:rsidRPr="00F0716B">
        <w:rPr>
          <w:sz w:val="22"/>
          <w:szCs w:val="22"/>
          <w:lang w:val="en-GB"/>
        </w:rPr>
        <w:t>HVAC system, the room is equipped with mechanical ventilation</w:t>
      </w:r>
      <w:r w:rsidR="000A16CB" w:rsidRPr="00F0716B">
        <w:rPr>
          <w:sz w:val="22"/>
          <w:szCs w:val="22"/>
          <w:lang w:val="en-GB"/>
        </w:rPr>
        <w:t xml:space="preserve"> </w:t>
      </w:r>
      <w:r w:rsidR="00680C40">
        <w:rPr>
          <w:sz w:val="22"/>
          <w:szCs w:val="22"/>
          <w:lang w:val="en-GB"/>
        </w:rPr>
        <w:t>and cooling (with the basic parameters</w:t>
      </w:r>
      <w:r w:rsidR="000A16CB" w:rsidRPr="00F0716B">
        <w:rPr>
          <w:sz w:val="22"/>
          <w:szCs w:val="22"/>
          <w:lang w:val="en-GB"/>
        </w:rPr>
        <w:t xml:space="preserve"> set by the room users). The vents that provide fresh air into the room are located on the wall</w:t>
      </w:r>
      <w:r w:rsidR="00680C40">
        <w:rPr>
          <w:sz w:val="22"/>
          <w:szCs w:val="22"/>
          <w:lang w:val="en-GB"/>
        </w:rPr>
        <w:t>,</w:t>
      </w:r>
      <w:r w:rsidR="000A16CB" w:rsidRPr="00F0716B">
        <w:rPr>
          <w:sz w:val="22"/>
          <w:szCs w:val="22"/>
          <w:lang w:val="en-GB"/>
        </w:rPr>
        <w:t xml:space="preserve"> and </w:t>
      </w:r>
      <w:r w:rsidR="00A0489A" w:rsidRPr="00F0716B">
        <w:rPr>
          <w:sz w:val="22"/>
          <w:szCs w:val="22"/>
          <w:lang w:val="en-GB"/>
        </w:rPr>
        <w:t xml:space="preserve">the </w:t>
      </w:r>
      <w:r w:rsidR="000A16CB" w:rsidRPr="00F0716B">
        <w:rPr>
          <w:sz w:val="22"/>
          <w:szCs w:val="22"/>
          <w:lang w:val="en-GB"/>
        </w:rPr>
        <w:t xml:space="preserve">vents that remove the exhaust air – </w:t>
      </w:r>
      <w:r w:rsidR="00680C40">
        <w:rPr>
          <w:sz w:val="22"/>
          <w:szCs w:val="22"/>
          <w:lang w:val="en-GB"/>
        </w:rPr>
        <w:t xml:space="preserve">are </w:t>
      </w:r>
      <w:r w:rsidR="000A16CB" w:rsidRPr="00F0716B">
        <w:rPr>
          <w:sz w:val="22"/>
          <w:szCs w:val="22"/>
          <w:lang w:val="en-GB"/>
        </w:rPr>
        <w:t xml:space="preserve">on the ceiling (both types can be seen in Figure 1). The study was </w:t>
      </w:r>
      <w:r w:rsidR="000A16CB" w:rsidRPr="00F0716B">
        <w:rPr>
          <w:sz w:val="22"/>
          <w:szCs w:val="22"/>
          <w:lang w:val="en-GB"/>
        </w:rPr>
        <w:lastRenderedPageBreak/>
        <w:t>performed in June</w:t>
      </w:r>
      <w:r w:rsidR="00680C40">
        <w:rPr>
          <w:sz w:val="22"/>
          <w:szCs w:val="22"/>
          <w:lang w:val="en-GB"/>
        </w:rPr>
        <w:t>;</w:t>
      </w:r>
      <w:r w:rsidR="000A16CB" w:rsidRPr="00F0716B">
        <w:rPr>
          <w:sz w:val="22"/>
          <w:szCs w:val="22"/>
          <w:lang w:val="en-GB"/>
        </w:rPr>
        <w:t xml:space="preserve"> thus</w:t>
      </w:r>
      <w:r w:rsidR="00680C40">
        <w:rPr>
          <w:sz w:val="22"/>
          <w:szCs w:val="22"/>
          <w:lang w:val="en-GB"/>
        </w:rPr>
        <w:t>,</w:t>
      </w:r>
      <w:r w:rsidR="000A16CB" w:rsidRPr="00F0716B">
        <w:rPr>
          <w:sz w:val="22"/>
          <w:szCs w:val="22"/>
          <w:lang w:val="en-GB"/>
        </w:rPr>
        <w:t xml:space="preserve"> no heating was on. However, air heating is the </w:t>
      </w:r>
      <w:r w:rsidR="00680C40">
        <w:rPr>
          <w:sz w:val="22"/>
          <w:szCs w:val="22"/>
          <w:lang w:val="en-GB"/>
        </w:rPr>
        <w:t>room's thermal energy source</w:t>
      </w:r>
      <w:r w:rsidR="000A16CB" w:rsidRPr="00F0716B">
        <w:rPr>
          <w:sz w:val="22"/>
          <w:szCs w:val="22"/>
          <w:lang w:val="en-GB"/>
        </w:rPr>
        <w:t xml:space="preserve"> during the heating season.</w:t>
      </w:r>
      <w:r w:rsidR="00737DBF" w:rsidRPr="00F0716B">
        <w:rPr>
          <w:sz w:val="22"/>
          <w:szCs w:val="22"/>
          <w:lang w:val="en-GB"/>
        </w:rPr>
        <w:t xml:space="preserve"> </w:t>
      </w:r>
    </w:p>
    <w:p w14:paraId="02D5070B" w14:textId="77777777" w:rsidR="00A06D14" w:rsidRPr="00F0716B" w:rsidRDefault="00A06D14" w:rsidP="001321A0">
      <w:pPr>
        <w:ind w:firstLine="284"/>
        <w:jc w:val="both"/>
        <w:rPr>
          <w:sz w:val="22"/>
          <w:szCs w:val="22"/>
          <w:lang w:val="en-GB"/>
        </w:rPr>
      </w:pPr>
      <w:r w:rsidRPr="00F0716B">
        <w:rPr>
          <w:sz w:val="22"/>
          <w:szCs w:val="22"/>
          <w:lang w:val="en-GB"/>
        </w:rPr>
        <w:t>T</w:t>
      </w:r>
      <w:r w:rsidR="001321A0" w:rsidRPr="00F0716B">
        <w:rPr>
          <w:sz w:val="22"/>
          <w:szCs w:val="22"/>
          <w:lang w:val="en-GB"/>
        </w:rPr>
        <w:t xml:space="preserve">he measuring station </w:t>
      </w:r>
      <w:r w:rsidR="00AD4378" w:rsidRPr="00F0716B">
        <w:rPr>
          <w:sz w:val="22"/>
          <w:szCs w:val="22"/>
          <w:lang w:val="en-GB"/>
        </w:rPr>
        <w:t xml:space="preserve">consisted of the BABUC-A microclimate meter with </w:t>
      </w:r>
      <w:r w:rsidR="006B727C" w:rsidRPr="00F0716B">
        <w:rPr>
          <w:sz w:val="22"/>
          <w:szCs w:val="22"/>
          <w:lang w:val="en-GB"/>
        </w:rPr>
        <w:t xml:space="preserve">adequate </w:t>
      </w:r>
      <w:r w:rsidR="00AD4378" w:rsidRPr="00F0716B">
        <w:rPr>
          <w:sz w:val="22"/>
          <w:szCs w:val="22"/>
          <w:lang w:val="en-GB"/>
        </w:rPr>
        <w:t xml:space="preserve">probes. It </w:t>
      </w:r>
      <w:r w:rsidR="001321A0" w:rsidRPr="00F0716B">
        <w:rPr>
          <w:sz w:val="22"/>
          <w:szCs w:val="22"/>
          <w:lang w:val="en-GB"/>
        </w:rPr>
        <w:t>was locat</w:t>
      </w:r>
      <w:r w:rsidR="00AD4378" w:rsidRPr="00F0716B">
        <w:rPr>
          <w:sz w:val="22"/>
          <w:szCs w:val="22"/>
          <w:lang w:val="en-GB"/>
        </w:rPr>
        <w:t>ed in the middle of the room. Table 1 presents the basic technical features of the measuring device</w:t>
      </w:r>
      <w:r w:rsidR="001321A0" w:rsidRPr="00F0716B">
        <w:rPr>
          <w:sz w:val="22"/>
          <w:szCs w:val="22"/>
          <w:lang w:val="en-GB"/>
        </w:rPr>
        <w:t>.</w:t>
      </w:r>
    </w:p>
    <w:p w14:paraId="417BE79E" w14:textId="77777777" w:rsidR="009301ED" w:rsidRPr="00F0716B" w:rsidRDefault="009301ED" w:rsidP="001321A0">
      <w:pPr>
        <w:ind w:firstLine="284"/>
        <w:jc w:val="both"/>
        <w:rPr>
          <w:sz w:val="22"/>
          <w:szCs w:val="22"/>
          <w:lang w:val="en-GB"/>
        </w:rPr>
      </w:pPr>
    </w:p>
    <w:p w14:paraId="49718233" w14:textId="77777777" w:rsidR="00AD4378" w:rsidRPr="00F0716B" w:rsidRDefault="00AD4378" w:rsidP="009301ED">
      <w:pPr>
        <w:pStyle w:val="Rtab"/>
        <w:rPr>
          <w:lang w:val="en-GB"/>
        </w:rPr>
      </w:pPr>
      <w:r w:rsidRPr="00F0716B">
        <w:rPr>
          <w:b/>
          <w:bCs/>
          <w:lang w:val="en-GB"/>
        </w:rPr>
        <w:t>Tab</w:t>
      </w:r>
      <w:r w:rsidR="009301ED" w:rsidRPr="00F0716B">
        <w:rPr>
          <w:b/>
          <w:bCs/>
          <w:lang w:val="en-GB"/>
        </w:rPr>
        <w:t>le</w:t>
      </w:r>
      <w:r w:rsidRPr="00F0716B">
        <w:rPr>
          <w:b/>
          <w:bCs/>
          <w:lang w:val="en-GB"/>
        </w:rPr>
        <w:t xml:space="preserve"> 1.</w:t>
      </w:r>
      <w:r w:rsidRPr="00F0716B">
        <w:rPr>
          <w:lang w:val="en-GB"/>
        </w:rPr>
        <w:t xml:space="preserve"> Accuracy and </w:t>
      </w:r>
      <w:r w:rsidR="006B727C" w:rsidRPr="00F0716B">
        <w:rPr>
          <w:lang w:val="en-GB"/>
        </w:rPr>
        <w:t xml:space="preserve">maximal </w:t>
      </w:r>
      <w:r w:rsidRPr="00F0716B">
        <w:rPr>
          <w:lang w:val="en-GB"/>
        </w:rPr>
        <w:t>range of the parameters measured in the study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2062"/>
        <w:gridCol w:w="2522"/>
      </w:tblGrid>
      <w:tr w:rsidR="00AD4378" w:rsidRPr="00F0716B" w14:paraId="51607D58" w14:textId="77777777" w:rsidTr="00910EAA">
        <w:trPr>
          <w:trHeight w:val="281"/>
          <w:jc w:val="center"/>
        </w:trPr>
        <w:tc>
          <w:tcPr>
            <w:tcW w:w="2439" w:type="dxa"/>
            <w:shd w:val="clear" w:color="auto" w:fill="auto"/>
            <w:vAlign w:val="center"/>
          </w:tcPr>
          <w:p w14:paraId="229CBB4A" w14:textId="77777777" w:rsidR="00AD4378" w:rsidRPr="00F0716B" w:rsidRDefault="00AD4378" w:rsidP="00910EAA">
            <w:pPr>
              <w:jc w:val="center"/>
              <w:rPr>
                <w:sz w:val="20"/>
                <w:lang w:val="en-GB"/>
              </w:rPr>
            </w:pPr>
            <w:r w:rsidRPr="00F0716B">
              <w:rPr>
                <w:sz w:val="20"/>
                <w:lang w:val="en-GB"/>
              </w:rPr>
              <w:t>Parameter</w:t>
            </w:r>
          </w:p>
        </w:tc>
        <w:tc>
          <w:tcPr>
            <w:tcW w:w="2062" w:type="dxa"/>
            <w:shd w:val="clear" w:color="auto" w:fill="auto"/>
            <w:vAlign w:val="center"/>
          </w:tcPr>
          <w:p w14:paraId="71C9DAC6" w14:textId="77777777" w:rsidR="00AD4378" w:rsidRPr="00F0716B" w:rsidRDefault="006B727C" w:rsidP="00910EAA">
            <w:pPr>
              <w:jc w:val="center"/>
              <w:rPr>
                <w:sz w:val="20"/>
                <w:lang w:val="en-GB"/>
              </w:rPr>
            </w:pPr>
            <w:r w:rsidRPr="00F0716B">
              <w:rPr>
                <w:sz w:val="20"/>
                <w:lang w:val="en-GB"/>
              </w:rPr>
              <w:t>Maximal range</w:t>
            </w:r>
          </w:p>
        </w:tc>
        <w:tc>
          <w:tcPr>
            <w:tcW w:w="2522" w:type="dxa"/>
            <w:shd w:val="clear" w:color="auto" w:fill="auto"/>
            <w:vAlign w:val="center"/>
          </w:tcPr>
          <w:p w14:paraId="67DAD66A" w14:textId="77777777" w:rsidR="00AD4378" w:rsidRPr="00F0716B" w:rsidRDefault="006B727C" w:rsidP="00910EAA">
            <w:pPr>
              <w:jc w:val="center"/>
              <w:rPr>
                <w:sz w:val="20"/>
                <w:lang w:val="en-GB"/>
              </w:rPr>
            </w:pPr>
            <w:r w:rsidRPr="00F0716B">
              <w:rPr>
                <w:sz w:val="20"/>
                <w:lang w:val="en-GB"/>
              </w:rPr>
              <w:t>Accuracy level</w:t>
            </w:r>
          </w:p>
        </w:tc>
      </w:tr>
      <w:tr w:rsidR="00AD4378" w:rsidRPr="00F0716B" w14:paraId="3A1686FD" w14:textId="77777777" w:rsidTr="00910EAA">
        <w:trPr>
          <w:trHeight w:val="243"/>
          <w:jc w:val="center"/>
        </w:trPr>
        <w:tc>
          <w:tcPr>
            <w:tcW w:w="2439" w:type="dxa"/>
            <w:shd w:val="clear" w:color="auto" w:fill="auto"/>
            <w:vAlign w:val="center"/>
          </w:tcPr>
          <w:p w14:paraId="7DB574D4" w14:textId="77777777" w:rsidR="00AD4378" w:rsidRPr="00F0716B" w:rsidRDefault="00AD4378" w:rsidP="00910EAA">
            <w:pPr>
              <w:jc w:val="center"/>
              <w:rPr>
                <w:sz w:val="20"/>
                <w:lang w:val="en-GB"/>
              </w:rPr>
            </w:pPr>
            <w:r w:rsidRPr="00F0716B">
              <w:rPr>
                <w:sz w:val="20"/>
                <w:lang w:val="en-GB"/>
              </w:rPr>
              <w:t>Air temperature</w:t>
            </w:r>
          </w:p>
        </w:tc>
        <w:tc>
          <w:tcPr>
            <w:tcW w:w="2062" w:type="dxa"/>
            <w:shd w:val="clear" w:color="auto" w:fill="auto"/>
            <w:vAlign w:val="center"/>
          </w:tcPr>
          <w:p w14:paraId="354FDD61" w14:textId="77777777" w:rsidR="00AD4378" w:rsidRPr="00F0716B" w:rsidRDefault="006B727C" w:rsidP="00910EAA">
            <w:pPr>
              <w:jc w:val="center"/>
              <w:rPr>
                <w:sz w:val="20"/>
                <w:lang w:val="en-GB"/>
              </w:rPr>
            </w:pPr>
            <w:r w:rsidRPr="00F0716B">
              <w:rPr>
                <w:sz w:val="20"/>
                <w:lang w:val="en-GB"/>
              </w:rPr>
              <w:t>45</w:t>
            </w:r>
            <w:r w:rsidR="00DA4E91" w:rsidRPr="00F0716B">
              <w:rPr>
                <w:sz w:val="20"/>
                <w:lang w:val="en-GB"/>
              </w:rPr>
              <w:t>°</w:t>
            </w:r>
            <w:r w:rsidRPr="00F0716B">
              <w:rPr>
                <w:sz w:val="20"/>
                <w:lang w:val="en-GB"/>
              </w:rPr>
              <w:t>C</w:t>
            </w:r>
          </w:p>
        </w:tc>
        <w:tc>
          <w:tcPr>
            <w:tcW w:w="2522" w:type="dxa"/>
            <w:shd w:val="clear" w:color="auto" w:fill="auto"/>
            <w:vAlign w:val="center"/>
          </w:tcPr>
          <w:p w14:paraId="53ECAF86" w14:textId="77777777" w:rsidR="00AD4378" w:rsidRPr="00F0716B" w:rsidRDefault="006B727C" w:rsidP="00910EAA">
            <w:pPr>
              <w:jc w:val="center"/>
              <w:rPr>
                <w:sz w:val="20"/>
                <w:lang w:val="en-GB"/>
              </w:rPr>
            </w:pPr>
            <w:r w:rsidRPr="00F0716B">
              <w:rPr>
                <w:sz w:val="20"/>
                <w:lang w:val="en-GB"/>
              </w:rPr>
              <w:t>0.5</w:t>
            </w:r>
            <w:r w:rsidR="00DA4E91" w:rsidRPr="00F0716B">
              <w:rPr>
                <w:sz w:val="20"/>
                <w:lang w:val="en-GB"/>
              </w:rPr>
              <w:t>°</w:t>
            </w:r>
            <w:r w:rsidRPr="00F0716B">
              <w:rPr>
                <w:sz w:val="20"/>
                <w:lang w:val="en-GB"/>
              </w:rPr>
              <w:t>C</w:t>
            </w:r>
          </w:p>
        </w:tc>
      </w:tr>
      <w:tr w:rsidR="00AD4378" w:rsidRPr="00F0716B" w14:paraId="69CDF937" w14:textId="77777777" w:rsidTr="00910EAA">
        <w:trPr>
          <w:trHeight w:val="243"/>
          <w:jc w:val="center"/>
        </w:trPr>
        <w:tc>
          <w:tcPr>
            <w:tcW w:w="2439" w:type="dxa"/>
            <w:shd w:val="clear" w:color="auto" w:fill="auto"/>
            <w:vAlign w:val="center"/>
          </w:tcPr>
          <w:p w14:paraId="0D45738D" w14:textId="77777777" w:rsidR="00AD4378" w:rsidRPr="00F0716B" w:rsidRDefault="00AD4378" w:rsidP="00910EAA">
            <w:pPr>
              <w:jc w:val="center"/>
              <w:rPr>
                <w:sz w:val="20"/>
                <w:lang w:val="en-GB"/>
              </w:rPr>
            </w:pPr>
            <w:r w:rsidRPr="00F0716B">
              <w:rPr>
                <w:sz w:val="20"/>
                <w:lang w:val="en-GB"/>
              </w:rPr>
              <w:t>Relative humidity</w:t>
            </w:r>
          </w:p>
        </w:tc>
        <w:tc>
          <w:tcPr>
            <w:tcW w:w="2062" w:type="dxa"/>
            <w:shd w:val="clear" w:color="auto" w:fill="auto"/>
            <w:vAlign w:val="center"/>
          </w:tcPr>
          <w:p w14:paraId="3C6EA152" w14:textId="77777777" w:rsidR="00AD4378" w:rsidRPr="00F0716B" w:rsidRDefault="006B727C" w:rsidP="00910EAA">
            <w:pPr>
              <w:jc w:val="center"/>
              <w:rPr>
                <w:sz w:val="20"/>
                <w:lang w:val="en-GB"/>
              </w:rPr>
            </w:pPr>
            <w:r w:rsidRPr="00F0716B">
              <w:rPr>
                <w:sz w:val="20"/>
                <w:lang w:val="en-GB"/>
              </w:rPr>
              <w:t>100%</w:t>
            </w:r>
          </w:p>
        </w:tc>
        <w:tc>
          <w:tcPr>
            <w:tcW w:w="2522" w:type="dxa"/>
            <w:shd w:val="clear" w:color="auto" w:fill="auto"/>
            <w:vAlign w:val="center"/>
          </w:tcPr>
          <w:p w14:paraId="7B2F89FF" w14:textId="77777777" w:rsidR="00AD4378" w:rsidRPr="00F0716B" w:rsidRDefault="006B727C" w:rsidP="00910EAA">
            <w:pPr>
              <w:jc w:val="center"/>
              <w:rPr>
                <w:sz w:val="20"/>
                <w:lang w:val="en-GB"/>
              </w:rPr>
            </w:pPr>
            <w:r w:rsidRPr="00F0716B">
              <w:rPr>
                <w:sz w:val="20"/>
                <w:lang w:val="en-GB"/>
              </w:rPr>
              <w:t>3%</w:t>
            </w:r>
          </w:p>
        </w:tc>
      </w:tr>
      <w:tr w:rsidR="00AD4378" w:rsidRPr="00F0716B" w14:paraId="0834F851" w14:textId="77777777" w:rsidTr="00910EAA">
        <w:trPr>
          <w:trHeight w:val="243"/>
          <w:jc w:val="center"/>
        </w:trPr>
        <w:tc>
          <w:tcPr>
            <w:tcW w:w="2439" w:type="dxa"/>
            <w:shd w:val="clear" w:color="auto" w:fill="auto"/>
            <w:vAlign w:val="center"/>
          </w:tcPr>
          <w:p w14:paraId="1DDE9D4E" w14:textId="77777777" w:rsidR="00AD4378" w:rsidRPr="00F0716B" w:rsidRDefault="00AD4378" w:rsidP="00910EAA">
            <w:pPr>
              <w:jc w:val="center"/>
              <w:rPr>
                <w:sz w:val="20"/>
                <w:lang w:val="en-GB"/>
              </w:rPr>
            </w:pPr>
            <w:r w:rsidRPr="00F0716B">
              <w:rPr>
                <w:sz w:val="20"/>
                <w:lang w:val="en-GB"/>
              </w:rPr>
              <w:t>Globe temperature</w:t>
            </w:r>
          </w:p>
        </w:tc>
        <w:tc>
          <w:tcPr>
            <w:tcW w:w="2062" w:type="dxa"/>
            <w:shd w:val="clear" w:color="auto" w:fill="auto"/>
            <w:vAlign w:val="center"/>
          </w:tcPr>
          <w:p w14:paraId="00458983" w14:textId="77777777" w:rsidR="00AD4378" w:rsidRPr="00F0716B" w:rsidRDefault="006B727C" w:rsidP="00910EAA">
            <w:pPr>
              <w:jc w:val="center"/>
              <w:rPr>
                <w:sz w:val="20"/>
                <w:lang w:val="en-GB"/>
              </w:rPr>
            </w:pPr>
            <w:r w:rsidRPr="00F0716B">
              <w:rPr>
                <w:sz w:val="20"/>
                <w:lang w:val="en-GB"/>
              </w:rPr>
              <w:t>70</w:t>
            </w:r>
            <w:r w:rsidR="00DA4E91" w:rsidRPr="00F0716B">
              <w:rPr>
                <w:sz w:val="20"/>
                <w:lang w:val="en-GB"/>
              </w:rPr>
              <w:t>°</w:t>
            </w:r>
            <w:r w:rsidRPr="00F0716B">
              <w:rPr>
                <w:sz w:val="20"/>
                <w:lang w:val="en-GB"/>
              </w:rPr>
              <w:t>C</w:t>
            </w:r>
          </w:p>
        </w:tc>
        <w:tc>
          <w:tcPr>
            <w:tcW w:w="2522" w:type="dxa"/>
            <w:shd w:val="clear" w:color="auto" w:fill="auto"/>
            <w:vAlign w:val="center"/>
          </w:tcPr>
          <w:p w14:paraId="06B927B5" w14:textId="77777777" w:rsidR="00AD4378" w:rsidRPr="00F0716B" w:rsidRDefault="006B727C" w:rsidP="00910EAA">
            <w:pPr>
              <w:jc w:val="center"/>
              <w:rPr>
                <w:sz w:val="20"/>
                <w:lang w:val="en-GB"/>
              </w:rPr>
            </w:pPr>
            <w:r w:rsidRPr="00F0716B">
              <w:rPr>
                <w:sz w:val="20"/>
                <w:lang w:val="en-GB"/>
              </w:rPr>
              <w:t>1</w:t>
            </w:r>
            <w:r w:rsidR="00DA4E91" w:rsidRPr="00F0716B">
              <w:rPr>
                <w:sz w:val="20"/>
                <w:lang w:val="en-GB"/>
              </w:rPr>
              <w:t>°</w:t>
            </w:r>
            <w:r w:rsidRPr="00F0716B">
              <w:rPr>
                <w:sz w:val="20"/>
                <w:lang w:val="en-GB"/>
              </w:rPr>
              <w:t>C</w:t>
            </w:r>
          </w:p>
        </w:tc>
      </w:tr>
      <w:tr w:rsidR="00AD4378" w:rsidRPr="00F0716B" w14:paraId="2FF4FC7A" w14:textId="77777777" w:rsidTr="00910EAA">
        <w:trPr>
          <w:trHeight w:val="243"/>
          <w:jc w:val="center"/>
        </w:trPr>
        <w:tc>
          <w:tcPr>
            <w:tcW w:w="2439" w:type="dxa"/>
            <w:shd w:val="clear" w:color="auto" w:fill="auto"/>
            <w:vAlign w:val="center"/>
          </w:tcPr>
          <w:p w14:paraId="7326E7B2" w14:textId="77777777" w:rsidR="00AD4378" w:rsidRPr="00F0716B" w:rsidRDefault="00AD4378" w:rsidP="00910EAA">
            <w:pPr>
              <w:jc w:val="center"/>
              <w:rPr>
                <w:sz w:val="20"/>
                <w:lang w:val="en-GB"/>
              </w:rPr>
            </w:pPr>
            <w:r w:rsidRPr="00F0716B">
              <w:rPr>
                <w:sz w:val="20"/>
                <w:lang w:val="en-GB"/>
              </w:rPr>
              <w:t>Carbon dioxide level</w:t>
            </w:r>
          </w:p>
        </w:tc>
        <w:tc>
          <w:tcPr>
            <w:tcW w:w="2062" w:type="dxa"/>
            <w:shd w:val="clear" w:color="auto" w:fill="auto"/>
            <w:vAlign w:val="center"/>
          </w:tcPr>
          <w:p w14:paraId="36939606" w14:textId="77777777" w:rsidR="00AD4378" w:rsidRPr="00F0716B" w:rsidRDefault="006B727C" w:rsidP="00910EAA">
            <w:pPr>
              <w:jc w:val="center"/>
              <w:rPr>
                <w:sz w:val="20"/>
                <w:lang w:val="en-GB"/>
              </w:rPr>
            </w:pPr>
            <w:r w:rsidRPr="00F0716B">
              <w:rPr>
                <w:sz w:val="20"/>
                <w:lang w:val="en-GB"/>
              </w:rPr>
              <w:t>5000 ppm</w:t>
            </w:r>
          </w:p>
        </w:tc>
        <w:tc>
          <w:tcPr>
            <w:tcW w:w="2522" w:type="dxa"/>
            <w:shd w:val="clear" w:color="auto" w:fill="auto"/>
            <w:vAlign w:val="center"/>
          </w:tcPr>
          <w:p w14:paraId="56EF2897" w14:textId="77777777" w:rsidR="00AD4378" w:rsidRPr="00F0716B" w:rsidRDefault="006B727C" w:rsidP="00910EAA">
            <w:pPr>
              <w:jc w:val="center"/>
              <w:rPr>
                <w:sz w:val="20"/>
                <w:lang w:val="en-GB"/>
              </w:rPr>
            </w:pPr>
            <w:r w:rsidRPr="00F0716B">
              <w:rPr>
                <w:sz w:val="20"/>
                <w:lang w:val="en-GB"/>
              </w:rPr>
              <w:t>20 ppm + 3% of the value</w:t>
            </w:r>
          </w:p>
        </w:tc>
      </w:tr>
      <w:tr w:rsidR="00AD4378" w:rsidRPr="00F0716B" w14:paraId="148B4C65" w14:textId="77777777" w:rsidTr="00910EAA">
        <w:trPr>
          <w:trHeight w:val="243"/>
          <w:jc w:val="center"/>
        </w:trPr>
        <w:tc>
          <w:tcPr>
            <w:tcW w:w="2439" w:type="dxa"/>
            <w:shd w:val="clear" w:color="auto" w:fill="auto"/>
            <w:vAlign w:val="center"/>
          </w:tcPr>
          <w:p w14:paraId="6486A311" w14:textId="77777777" w:rsidR="00AD4378" w:rsidRPr="00F0716B" w:rsidRDefault="00AD4378" w:rsidP="00910EAA">
            <w:pPr>
              <w:jc w:val="center"/>
              <w:rPr>
                <w:sz w:val="20"/>
                <w:lang w:val="en-GB"/>
              </w:rPr>
            </w:pPr>
            <w:r w:rsidRPr="00F0716B">
              <w:rPr>
                <w:sz w:val="20"/>
                <w:lang w:val="en-GB"/>
              </w:rPr>
              <w:t>Air velocity</w:t>
            </w:r>
          </w:p>
        </w:tc>
        <w:tc>
          <w:tcPr>
            <w:tcW w:w="2062" w:type="dxa"/>
            <w:shd w:val="clear" w:color="auto" w:fill="auto"/>
            <w:vAlign w:val="center"/>
          </w:tcPr>
          <w:p w14:paraId="1C2ABFB6" w14:textId="77777777" w:rsidR="006B727C" w:rsidRPr="00F0716B" w:rsidRDefault="006B727C" w:rsidP="00910EAA">
            <w:pPr>
              <w:jc w:val="center"/>
              <w:rPr>
                <w:sz w:val="20"/>
                <w:lang w:val="en-GB"/>
              </w:rPr>
            </w:pPr>
            <w:r w:rsidRPr="00F0716B">
              <w:rPr>
                <w:sz w:val="20"/>
                <w:lang w:val="en-GB"/>
              </w:rPr>
              <w:t>30 m/s</w:t>
            </w:r>
          </w:p>
        </w:tc>
        <w:tc>
          <w:tcPr>
            <w:tcW w:w="2522" w:type="dxa"/>
            <w:shd w:val="clear" w:color="auto" w:fill="auto"/>
            <w:vAlign w:val="center"/>
          </w:tcPr>
          <w:p w14:paraId="2F095840" w14:textId="77777777" w:rsidR="00AD4378" w:rsidRPr="00F0716B" w:rsidRDefault="006B727C" w:rsidP="00910EAA">
            <w:pPr>
              <w:jc w:val="center"/>
              <w:rPr>
                <w:sz w:val="20"/>
                <w:lang w:val="en-GB"/>
              </w:rPr>
            </w:pPr>
            <w:r w:rsidRPr="00F0716B">
              <w:rPr>
                <w:sz w:val="20"/>
                <w:lang w:val="en-GB"/>
              </w:rPr>
              <w:t>3% (at 25</w:t>
            </w:r>
            <w:r w:rsidR="00DA4E91" w:rsidRPr="00F0716B">
              <w:rPr>
                <w:sz w:val="20"/>
                <w:lang w:val="en-GB"/>
              </w:rPr>
              <w:t>°</w:t>
            </w:r>
            <w:r w:rsidRPr="00F0716B">
              <w:rPr>
                <w:sz w:val="20"/>
                <w:lang w:val="en-GB"/>
              </w:rPr>
              <w:t>C)</w:t>
            </w:r>
          </w:p>
        </w:tc>
      </w:tr>
    </w:tbl>
    <w:p w14:paraId="3EFE7A8F" w14:textId="77777777" w:rsidR="00AD4378" w:rsidRPr="00F0716B" w:rsidRDefault="00AD4378" w:rsidP="001321A0">
      <w:pPr>
        <w:ind w:firstLine="284"/>
        <w:jc w:val="both"/>
        <w:rPr>
          <w:sz w:val="22"/>
          <w:szCs w:val="22"/>
          <w:lang w:val="en-GB"/>
        </w:rPr>
      </w:pPr>
    </w:p>
    <w:p w14:paraId="43B09ECF" w14:textId="77777777" w:rsidR="007023D7" w:rsidRPr="00F0716B" w:rsidRDefault="00BA6A2B" w:rsidP="00876BB2">
      <w:pPr>
        <w:ind w:firstLine="284"/>
        <w:jc w:val="both"/>
        <w:rPr>
          <w:sz w:val="22"/>
          <w:szCs w:val="22"/>
          <w:lang w:val="en-GB"/>
        </w:rPr>
      </w:pPr>
      <w:r w:rsidRPr="00F0716B">
        <w:rPr>
          <w:sz w:val="22"/>
          <w:szCs w:val="22"/>
          <w:lang w:val="en-GB"/>
        </w:rPr>
        <w:t>During the measurements</w:t>
      </w:r>
      <w:r w:rsidR="00680C40">
        <w:rPr>
          <w:sz w:val="22"/>
          <w:szCs w:val="22"/>
          <w:lang w:val="en-GB"/>
        </w:rPr>
        <w:t>,</w:t>
      </w:r>
      <w:r w:rsidRPr="00F0716B">
        <w:rPr>
          <w:sz w:val="22"/>
          <w:szCs w:val="22"/>
          <w:lang w:val="en-GB"/>
        </w:rPr>
        <w:t xml:space="preserve"> the indoor air parameters</w:t>
      </w:r>
      <w:r w:rsidR="004E0EE3" w:rsidRPr="00F0716B">
        <w:rPr>
          <w:sz w:val="22"/>
          <w:szCs w:val="22"/>
          <w:lang w:val="en-GB"/>
        </w:rPr>
        <w:t xml:space="preserve"> fluctuated</w:t>
      </w:r>
      <w:r w:rsidR="004E0EE3" w:rsidRPr="00F0716B">
        <w:rPr>
          <w:lang w:val="en-GB"/>
        </w:rPr>
        <w:t xml:space="preserve"> </w:t>
      </w:r>
      <w:r w:rsidR="004E0EE3" w:rsidRPr="00F0716B">
        <w:rPr>
          <w:sz w:val="22"/>
          <w:szCs w:val="22"/>
          <w:lang w:val="en-GB"/>
        </w:rPr>
        <w:t>and ranged from 26.1 to 27.7</w:t>
      </w:r>
      <w:r w:rsidR="009301ED" w:rsidRPr="00F0716B">
        <w:rPr>
          <w:sz w:val="22"/>
          <w:szCs w:val="22"/>
          <w:lang w:val="en-GB"/>
        </w:rPr>
        <w:t>°</w:t>
      </w:r>
      <w:r w:rsidR="004E0EE3" w:rsidRPr="00F0716B">
        <w:rPr>
          <w:sz w:val="22"/>
          <w:szCs w:val="22"/>
          <w:lang w:val="en-GB"/>
        </w:rPr>
        <w:t>C for air temperature, 48.5-5</w:t>
      </w:r>
      <w:r w:rsidR="007E4DFB" w:rsidRPr="00F0716B">
        <w:rPr>
          <w:sz w:val="22"/>
          <w:szCs w:val="22"/>
          <w:lang w:val="en-GB"/>
        </w:rPr>
        <w:t>3</w:t>
      </w:r>
      <w:r w:rsidR="004E0EE3" w:rsidRPr="00F0716B">
        <w:rPr>
          <w:sz w:val="22"/>
          <w:szCs w:val="22"/>
          <w:lang w:val="en-GB"/>
        </w:rPr>
        <w:t>.</w:t>
      </w:r>
      <w:r w:rsidR="007E4DFB" w:rsidRPr="00F0716B">
        <w:rPr>
          <w:sz w:val="22"/>
          <w:szCs w:val="22"/>
          <w:lang w:val="en-GB"/>
        </w:rPr>
        <w:t>3</w:t>
      </w:r>
      <w:r w:rsidR="004E0EE3" w:rsidRPr="00F0716B">
        <w:rPr>
          <w:sz w:val="22"/>
          <w:szCs w:val="22"/>
          <w:lang w:val="en-GB"/>
        </w:rPr>
        <w:t>% for relative humidity and 937-12</w:t>
      </w:r>
      <w:r w:rsidR="007E4DFB" w:rsidRPr="00F0716B">
        <w:rPr>
          <w:sz w:val="22"/>
          <w:szCs w:val="22"/>
          <w:lang w:val="en-GB"/>
        </w:rPr>
        <w:t>23</w:t>
      </w:r>
      <w:r w:rsidR="004E0EE3" w:rsidRPr="00F0716B">
        <w:rPr>
          <w:sz w:val="22"/>
          <w:szCs w:val="22"/>
          <w:lang w:val="en-GB"/>
        </w:rPr>
        <w:t xml:space="preserve"> ppm for carbon dioxide concentration. Airflow velocity was almost constant and amounted to 0.04-0.06 m/s.</w:t>
      </w:r>
      <w:r w:rsidR="00867DC7" w:rsidRPr="00F0716B">
        <w:rPr>
          <w:sz w:val="22"/>
          <w:szCs w:val="22"/>
          <w:lang w:val="en-GB"/>
        </w:rPr>
        <w:t xml:space="preserve"> </w:t>
      </w:r>
      <w:r w:rsidR="008F4A41" w:rsidRPr="00F0716B">
        <w:rPr>
          <w:sz w:val="22"/>
          <w:szCs w:val="22"/>
          <w:lang w:val="en-GB"/>
        </w:rPr>
        <w:t>The volunteers were 20 to 25 years old. Their mean height and weight were 1.76 m and 74.5 kg, respectively. For analysis related to thermal comfort, it is more important to know the Body Mass Index of each participant. Its average value was calculated for each person individually and ranged from 17.71 to 38.16 kg/m</w:t>
      </w:r>
      <w:r w:rsidR="008F4A41" w:rsidRPr="00F0716B">
        <w:rPr>
          <w:sz w:val="22"/>
          <w:szCs w:val="22"/>
          <w:vertAlign w:val="superscript"/>
          <w:lang w:val="en-GB"/>
        </w:rPr>
        <w:t>2</w:t>
      </w:r>
      <w:r w:rsidR="008F4A41" w:rsidRPr="00F0716B">
        <w:rPr>
          <w:sz w:val="22"/>
          <w:szCs w:val="22"/>
          <w:lang w:val="en-GB"/>
        </w:rPr>
        <w:t>.</w:t>
      </w:r>
      <w:r w:rsidR="00E22A39" w:rsidRPr="00F0716B">
        <w:rPr>
          <w:sz w:val="22"/>
          <w:szCs w:val="22"/>
          <w:lang w:val="en-GB"/>
        </w:rPr>
        <w:t xml:space="preserve"> </w:t>
      </w:r>
      <w:r w:rsidR="00710CF4" w:rsidRPr="00F0716B">
        <w:rPr>
          <w:sz w:val="22"/>
          <w:szCs w:val="22"/>
          <w:lang w:val="en-GB"/>
        </w:rPr>
        <w:t>The smokers constituted 17.4% of the group, while 13% of the students indicated they were ill within the last seven days</w:t>
      </w:r>
      <w:r w:rsidR="00680C40">
        <w:rPr>
          <w:sz w:val="22"/>
          <w:szCs w:val="22"/>
          <w:lang w:val="en-GB"/>
        </w:rPr>
        <w:t>,</w:t>
      </w:r>
      <w:r w:rsidR="00876BB2" w:rsidRPr="00F0716B">
        <w:rPr>
          <w:sz w:val="22"/>
          <w:szCs w:val="22"/>
          <w:lang w:val="en-GB"/>
        </w:rPr>
        <w:t xml:space="preserve"> and some</w:t>
      </w:r>
      <w:r w:rsidR="00710CF4" w:rsidRPr="00F0716B">
        <w:rPr>
          <w:sz w:val="22"/>
          <w:szCs w:val="22"/>
          <w:lang w:val="en-GB"/>
        </w:rPr>
        <w:t xml:space="preserve"> </w:t>
      </w:r>
      <w:r w:rsidR="00876BB2" w:rsidRPr="00F0716B">
        <w:rPr>
          <w:sz w:val="22"/>
          <w:szCs w:val="22"/>
          <w:lang w:val="en-GB"/>
        </w:rPr>
        <w:t>(</w:t>
      </w:r>
      <w:r w:rsidR="00710CF4" w:rsidRPr="00F0716B">
        <w:rPr>
          <w:sz w:val="22"/>
          <w:szCs w:val="22"/>
          <w:lang w:val="en-GB"/>
        </w:rPr>
        <w:t>8.7%</w:t>
      </w:r>
      <w:r w:rsidR="00876BB2" w:rsidRPr="00F0716B">
        <w:rPr>
          <w:sz w:val="22"/>
          <w:szCs w:val="22"/>
          <w:lang w:val="en-GB"/>
        </w:rPr>
        <w:t>)</w:t>
      </w:r>
      <w:r w:rsidR="00710CF4" w:rsidRPr="00F0716B">
        <w:rPr>
          <w:sz w:val="22"/>
          <w:szCs w:val="22"/>
          <w:lang w:val="en-GB"/>
        </w:rPr>
        <w:t xml:space="preserve"> had </w:t>
      </w:r>
      <w:r w:rsidR="00680C40">
        <w:rPr>
          <w:sz w:val="22"/>
          <w:szCs w:val="22"/>
          <w:lang w:val="en-GB"/>
        </w:rPr>
        <w:t xml:space="preserve">a </w:t>
      </w:r>
      <w:r w:rsidR="00710CF4" w:rsidRPr="00F0716B">
        <w:rPr>
          <w:sz w:val="22"/>
          <w:szCs w:val="22"/>
          <w:lang w:val="en-GB"/>
        </w:rPr>
        <w:t>fever.</w:t>
      </w:r>
      <w:r w:rsidR="00D52487" w:rsidRPr="00F0716B">
        <w:rPr>
          <w:sz w:val="22"/>
          <w:szCs w:val="22"/>
          <w:lang w:val="en-GB"/>
        </w:rPr>
        <w:t xml:space="preserve"> The recent sleep duration of the respondents ranged from 11h to 2h: 11.9% slept </w:t>
      </w:r>
      <w:r w:rsidR="00CD160E" w:rsidRPr="00F0716B">
        <w:rPr>
          <w:sz w:val="22"/>
          <w:szCs w:val="22"/>
          <w:lang w:val="en-GB"/>
        </w:rPr>
        <w:t xml:space="preserve">four hours or less, while 10.4% slept nine hours or more. The average </w:t>
      </w:r>
      <w:r w:rsidR="00680C40">
        <w:rPr>
          <w:sz w:val="22"/>
          <w:szCs w:val="22"/>
          <w:lang w:val="en-GB"/>
        </w:rPr>
        <w:t>sleep duration for the whole group was 6.5h, which is quite low and can</w:t>
      </w:r>
      <w:r w:rsidR="00CD160E" w:rsidRPr="00F0716B">
        <w:rPr>
          <w:sz w:val="22"/>
          <w:szCs w:val="22"/>
          <w:lang w:val="en-GB"/>
        </w:rPr>
        <w:t xml:space="preserve"> be explained by the examination period at the university.</w:t>
      </w:r>
      <w:r w:rsidR="00737DBF" w:rsidRPr="00F0716B">
        <w:rPr>
          <w:sz w:val="22"/>
          <w:szCs w:val="22"/>
          <w:lang w:val="en-GB"/>
        </w:rPr>
        <w:t xml:space="preserve"> </w:t>
      </w:r>
    </w:p>
    <w:p w14:paraId="69C94363" w14:textId="77777777" w:rsidR="0039376F" w:rsidRPr="00F0716B" w:rsidRDefault="00CA7D72" w:rsidP="003427D4">
      <w:pPr>
        <w:pStyle w:val="Rn1"/>
        <w:rPr>
          <w:lang w:val="en-GB"/>
        </w:rPr>
      </w:pPr>
      <w:r w:rsidRPr="00F0716B">
        <w:rPr>
          <w:lang w:val="en-GB"/>
        </w:rPr>
        <w:t>3. R</w:t>
      </w:r>
      <w:r w:rsidR="002B29F2" w:rsidRPr="00F0716B">
        <w:rPr>
          <w:lang w:val="en-GB"/>
        </w:rPr>
        <w:t>esults</w:t>
      </w:r>
      <w:r w:rsidR="00683DB9" w:rsidRPr="00F0716B">
        <w:rPr>
          <w:lang w:val="en-GB"/>
        </w:rPr>
        <w:t xml:space="preserve"> and </w:t>
      </w:r>
      <w:r w:rsidR="002D5F0B">
        <w:rPr>
          <w:lang w:val="en-GB"/>
        </w:rPr>
        <w:t>D</w:t>
      </w:r>
      <w:r w:rsidR="00683DB9" w:rsidRPr="00F0716B">
        <w:rPr>
          <w:lang w:val="en-GB"/>
        </w:rPr>
        <w:t>iscussion</w:t>
      </w:r>
    </w:p>
    <w:p w14:paraId="692B2526" w14:textId="77777777" w:rsidR="00285C68" w:rsidRPr="00F0716B" w:rsidRDefault="00285C68" w:rsidP="00FF5FEB">
      <w:pPr>
        <w:ind w:firstLine="284"/>
        <w:jc w:val="both"/>
        <w:rPr>
          <w:sz w:val="22"/>
          <w:szCs w:val="22"/>
          <w:lang w:val="en-GB"/>
        </w:rPr>
      </w:pPr>
      <w:r w:rsidRPr="00F0716B">
        <w:rPr>
          <w:sz w:val="22"/>
          <w:szCs w:val="22"/>
          <w:lang w:val="en-GB"/>
        </w:rPr>
        <w:t>The study wa</w:t>
      </w:r>
      <w:r w:rsidR="00876BB2" w:rsidRPr="00F0716B">
        <w:rPr>
          <w:sz w:val="22"/>
          <w:szCs w:val="22"/>
          <w:lang w:val="en-GB"/>
        </w:rPr>
        <w:t>s performed</w:t>
      </w:r>
      <w:r w:rsidR="00AD7817" w:rsidRPr="00F0716B">
        <w:rPr>
          <w:sz w:val="22"/>
          <w:szCs w:val="22"/>
          <w:lang w:val="en-GB"/>
        </w:rPr>
        <w:t xml:space="preserve"> </w:t>
      </w:r>
      <w:r w:rsidRPr="00F0716B">
        <w:rPr>
          <w:sz w:val="22"/>
          <w:szCs w:val="22"/>
          <w:lang w:val="en-GB"/>
        </w:rPr>
        <w:t>in June. Sixty</w:t>
      </w:r>
      <w:r w:rsidR="00680C40">
        <w:rPr>
          <w:sz w:val="22"/>
          <w:szCs w:val="22"/>
          <w:lang w:val="en-GB"/>
        </w:rPr>
        <w:t>-</w:t>
      </w:r>
      <w:r w:rsidRPr="00F0716B">
        <w:rPr>
          <w:sz w:val="22"/>
          <w:szCs w:val="22"/>
          <w:lang w:val="en-GB"/>
        </w:rPr>
        <w:t xml:space="preserve">nine students took part </w:t>
      </w:r>
      <w:r w:rsidR="00FF5FEB" w:rsidRPr="00F0716B">
        <w:rPr>
          <w:sz w:val="22"/>
          <w:szCs w:val="22"/>
          <w:lang w:val="en-GB"/>
        </w:rPr>
        <w:t>in</w:t>
      </w:r>
      <w:r w:rsidRPr="00F0716B">
        <w:rPr>
          <w:sz w:val="22"/>
          <w:szCs w:val="22"/>
          <w:lang w:val="en-GB"/>
        </w:rPr>
        <w:t xml:space="preserve"> the survey. At the moment of filling in the forms, the </w:t>
      </w:r>
      <w:r w:rsidR="00680C40">
        <w:rPr>
          <w:sz w:val="22"/>
          <w:szCs w:val="22"/>
          <w:lang w:val="en-GB"/>
        </w:rPr>
        <w:t>microclimate parameters</w:t>
      </w:r>
      <w:r w:rsidRPr="00F0716B">
        <w:rPr>
          <w:sz w:val="22"/>
          <w:szCs w:val="22"/>
          <w:lang w:val="en-GB"/>
        </w:rPr>
        <w:t xml:space="preserve"> in the tested room were as follows: air temperature: 26.2</w:t>
      </w:r>
      <w:r w:rsidR="009301ED" w:rsidRPr="00F0716B">
        <w:rPr>
          <w:sz w:val="22"/>
          <w:szCs w:val="22"/>
          <w:lang w:val="en-GB"/>
        </w:rPr>
        <w:t>°</w:t>
      </w:r>
      <w:r w:rsidRPr="00F0716B">
        <w:rPr>
          <w:sz w:val="22"/>
          <w:szCs w:val="22"/>
          <w:lang w:val="en-GB"/>
        </w:rPr>
        <w:t>C, carbon dioxide level: 1223 ppm, relative humidity: 53.3%. It should be noted that the temperature was quite high in the room (due to the lack of air conditioning)</w:t>
      </w:r>
      <w:r w:rsidR="00AD7817" w:rsidRPr="00F0716B">
        <w:rPr>
          <w:sz w:val="22"/>
          <w:szCs w:val="22"/>
          <w:lang w:val="en-GB"/>
        </w:rPr>
        <w:t>. M</w:t>
      </w:r>
      <w:r w:rsidRPr="00F0716B">
        <w:rPr>
          <w:sz w:val="22"/>
          <w:szCs w:val="22"/>
          <w:lang w:val="en-GB"/>
        </w:rPr>
        <w:t xml:space="preserve">oreover, </w:t>
      </w:r>
      <w:r w:rsidR="00AD7817" w:rsidRPr="00F0716B">
        <w:rPr>
          <w:sz w:val="22"/>
          <w:szCs w:val="22"/>
          <w:lang w:val="en-GB"/>
        </w:rPr>
        <w:t>a</w:t>
      </w:r>
      <w:r w:rsidRPr="00F0716B">
        <w:rPr>
          <w:sz w:val="22"/>
          <w:szCs w:val="22"/>
          <w:lang w:val="en-GB"/>
        </w:rPr>
        <w:t xml:space="preserve"> high concentration of CO</w:t>
      </w:r>
      <w:r w:rsidRPr="00F0716B">
        <w:rPr>
          <w:sz w:val="22"/>
          <w:szCs w:val="22"/>
          <w:vertAlign w:val="subscript"/>
          <w:lang w:val="en-GB"/>
        </w:rPr>
        <w:t>2</w:t>
      </w:r>
      <w:r w:rsidRPr="00F0716B">
        <w:rPr>
          <w:sz w:val="22"/>
          <w:szCs w:val="22"/>
          <w:lang w:val="en-GB"/>
        </w:rPr>
        <w:t xml:space="preserve"> could </w:t>
      </w:r>
      <w:r w:rsidR="00AD7817" w:rsidRPr="00F0716B">
        <w:rPr>
          <w:sz w:val="22"/>
          <w:szCs w:val="22"/>
          <w:lang w:val="en-GB"/>
        </w:rPr>
        <w:t>also contribute to the results obtained in the present study</w:t>
      </w:r>
      <w:r w:rsidRPr="00F0716B">
        <w:rPr>
          <w:sz w:val="22"/>
          <w:szCs w:val="22"/>
          <w:lang w:val="en-GB"/>
        </w:rPr>
        <w:t>.</w:t>
      </w:r>
      <w:r w:rsidR="00AD7817" w:rsidRPr="00F0716B">
        <w:rPr>
          <w:sz w:val="22"/>
          <w:szCs w:val="22"/>
          <w:lang w:val="en-GB"/>
        </w:rPr>
        <w:t xml:space="preserve"> Relative humidity was in the optimal range and could not have </w:t>
      </w:r>
      <w:r w:rsidR="00680C40">
        <w:rPr>
          <w:sz w:val="22"/>
          <w:szCs w:val="22"/>
          <w:lang w:val="en-GB"/>
        </w:rPr>
        <w:t>impacted</w:t>
      </w:r>
      <w:r w:rsidR="00AD7817" w:rsidRPr="00F0716B">
        <w:rPr>
          <w:sz w:val="22"/>
          <w:szCs w:val="22"/>
          <w:lang w:val="en-GB"/>
        </w:rPr>
        <w:t xml:space="preserve"> the students</w:t>
      </w:r>
      <w:r w:rsidR="00680C40">
        <w:rPr>
          <w:sz w:val="22"/>
          <w:szCs w:val="22"/>
          <w:lang w:val="en-GB"/>
        </w:rPr>
        <w:t>'</w:t>
      </w:r>
      <w:r w:rsidR="00AD7817" w:rsidRPr="00F0716B">
        <w:rPr>
          <w:sz w:val="22"/>
          <w:szCs w:val="22"/>
          <w:lang w:val="en-GB"/>
        </w:rPr>
        <w:t xml:space="preserve"> sensations.</w:t>
      </w:r>
      <w:r w:rsidRPr="00F0716B">
        <w:rPr>
          <w:sz w:val="22"/>
          <w:szCs w:val="22"/>
          <w:lang w:val="en-GB"/>
        </w:rPr>
        <w:t xml:space="preserve"> </w:t>
      </w:r>
    </w:p>
    <w:p w14:paraId="373D0A22" w14:textId="77777777" w:rsidR="003021D2" w:rsidRPr="00751A0E" w:rsidRDefault="00AD7817" w:rsidP="00CD160E">
      <w:pPr>
        <w:ind w:firstLine="284"/>
        <w:jc w:val="both"/>
        <w:rPr>
          <w:spacing w:val="-2"/>
          <w:sz w:val="22"/>
          <w:szCs w:val="22"/>
          <w:lang w:val="en-GB"/>
        </w:rPr>
      </w:pPr>
      <w:r w:rsidRPr="00751A0E">
        <w:rPr>
          <w:spacing w:val="-2"/>
          <w:sz w:val="22"/>
          <w:szCs w:val="22"/>
          <w:lang w:val="en-GB"/>
        </w:rPr>
        <w:t xml:space="preserve">Four symptoms of sick building syndrome </w:t>
      </w:r>
      <w:r w:rsidR="00285C68" w:rsidRPr="00751A0E">
        <w:rPr>
          <w:spacing w:val="-2"/>
          <w:sz w:val="22"/>
          <w:szCs w:val="22"/>
          <w:lang w:val="en-GB"/>
        </w:rPr>
        <w:t xml:space="preserve">will be </w:t>
      </w:r>
      <w:r w:rsidRPr="00751A0E">
        <w:rPr>
          <w:spacing w:val="-2"/>
          <w:sz w:val="22"/>
          <w:szCs w:val="22"/>
          <w:lang w:val="en-GB"/>
        </w:rPr>
        <w:t>considered and discussed</w:t>
      </w:r>
      <w:r w:rsidR="00680C40" w:rsidRPr="00751A0E">
        <w:rPr>
          <w:spacing w:val="-2"/>
          <w:sz w:val="22"/>
          <w:szCs w:val="22"/>
          <w:lang w:val="en-GB"/>
        </w:rPr>
        <w:t>:</w:t>
      </w:r>
      <w:r w:rsidRPr="00751A0E">
        <w:rPr>
          <w:spacing w:val="-2"/>
          <w:sz w:val="22"/>
          <w:szCs w:val="22"/>
          <w:lang w:val="en-GB"/>
        </w:rPr>
        <w:t xml:space="preserve"> </w:t>
      </w:r>
      <w:r w:rsidR="00285C68" w:rsidRPr="00751A0E">
        <w:rPr>
          <w:spacing w:val="-2"/>
          <w:sz w:val="22"/>
          <w:szCs w:val="22"/>
          <w:lang w:val="en-GB"/>
        </w:rPr>
        <w:t xml:space="preserve">dizziness, eye pain, nausea and </w:t>
      </w:r>
      <w:r w:rsidR="00CD160E" w:rsidRPr="00751A0E">
        <w:rPr>
          <w:spacing w:val="-2"/>
          <w:sz w:val="22"/>
          <w:szCs w:val="22"/>
          <w:lang w:val="en-GB"/>
        </w:rPr>
        <w:t xml:space="preserve">nasal mucosa </w:t>
      </w:r>
      <w:r w:rsidR="00285C68" w:rsidRPr="00751A0E">
        <w:rPr>
          <w:spacing w:val="-2"/>
          <w:sz w:val="22"/>
          <w:szCs w:val="22"/>
          <w:lang w:val="en-GB"/>
        </w:rPr>
        <w:t xml:space="preserve">(frequent sneezing, itching, nasal congestion). </w:t>
      </w:r>
      <w:r w:rsidRPr="00751A0E">
        <w:rPr>
          <w:spacing w:val="-2"/>
          <w:sz w:val="22"/>
          <w:szCs w:val="22"/>
          <w:lang w:val="en-GB"/>
        </w:rPr>
        <w:t>Regarding each of the above</w:t>
      </w:r>
      <w:r w:rsidR="00680C40" w:rsidRPr="00751A0E">
        <w:rPr>
          <w:spacing w:val="-2"/>
          <w:sz w:val="22"/>
          <w:szCs w:val="22"/>
          <w:lang w:val="en-GB"/>
        </w:rPr>
        <w:t>-</w:t>
      </w:r>
      <w:r w:rsidRPr="00751A0E">
        <w:rPr>
          <w:spacing w:val="-2"/>
          <w:sz w:val="22"/>
          <w:szCs w:val="22"/>
          <w:lang w:val="en-GB"/>
        </w:rPr>
        <w:t>mentioned health problems, t</w:t>
      </w:r>
      <w:r w:rsidR="00285C68" w:rsidRPr="00751A0E">
        <w:rPr>
          <w:spacing w:val="-2"/>
          <w:sz w:val="22"/>
          <w:szCs w:val="22"/>
          <w:lang w:val="en-GB"/>
        </w:rPr>
        <w:t xml:space="preserve">he students </w:t>
      </w:r>
      <w:r w:rsidRPr="00751A0E">
        <w:rPr>
          <w:spacing w:val="-2"/>
          <w:sz w:val="22"/>
          <w:szCs w:val="22"/>
          <w:lang w:val="en-GB"/>
        </w:rPr>
        <w:t>could choose from the following possible</w:t>
      </w:r>
      <w:r w:rsidR="00285C68" w:rsidRPr="00751A0E">
        <w:rPr>
          <w:spacing w:val="-2"/>
          <w:sz w:val="22"/>
          <w:szCs w:val="22"/>
          <w:lang w:val="en-GB"/>
        </w:rPr>
        <w:t xml:space="preserve"> answers</w:t>
      </w:r>
      <w:r w:rsidRPr="00751A0E">
        <w:rPr>
          <w:spacing w:val="-2"/>
          <w:sz w:val="22"/>
          <w:szCs w:val="22"/>
          <w:lang w:val="en-GB"/>
        </w:rPr>
        <w:t>:</w:t>
      </w:r>
      <w:r w:rsidR="00285C68" w:rsidRPr="00751A0E">
        <w:rPr>
          <w:spacing w:val="-2"/>
          <w:sz w:val="22"/>
          <w:szCs w:val="22"/>
          <w:lang w:val="en-GB"/>
        </w:rPr>
        <w:t xml:space="preserve"> </w:t>
      </w:r>
      <w:r w:rsidR="00680C40" w:rsidRPr="00751A0E">
        <w:rPr>
          <w:spacing w:val="-2"/>
          <w:sz w:val="22"/>
          <w:szCs w:val="22"/>
          <w:lang w:val="en-GB"/>
        </w:rPr>
        <w:t>"</w:t>
      </w:r>
      <w:r w:rsidR="00285C68" w:rsidRPr="00751A0E">
        <w:rPr>
          <w:spacing w:val="-2"/>
          <w:sz w:val="22"/>
          <w:szCs w:val="22"/>
          <w:lang w:val="en-GB"/>
        </w:rPr>
        <w:t>definitely do not feel it</w:t>
      </w:r>
      <w:r w:rsidR="00680C40" w:rsidRPr="00751A0E">
        <w:rPr>
          <w:spacing w:val="-2"/>
          <w:sz w:val="22"/>
          <w:szCs w:val="22"/>
          <w:lang w:val="en-GB"/>
        </w:rPr>
        <w:t>"</w:t>
      </w:r>
      <w:r w:rsidR="00285C68" w:rsidRPr="00751A0E">
        <w:rPr>
          <w:spacing w:val="-2"/>
          <w:sz w:val="22"/>
          <w:szCs w:val="22"/>
          <w:lang w:val="en-GB"/>
        </w:rPr>
        <w:t xml:space="preserve"> (-2), </w:t>
      </w:r>
      <w:r w:rsidR="00680C40" w:rsidRPr="00751A0E">
        <w:rPr>
          <w:spacing w:val="-2"/>
          <w:sz w:val="22"/>
          <w:szCs w:val="22"/>
          <w:lang w:val="en-GB"/>
        </w:rPr>
        <w:t>"</w:t>
      </w:r>
      <w:r w:rsidR="00285C68" w:rsidRPr="00751A0E">
        <w:rPr>
          <w:spacing w:val="-2"/>
          <w:sz w:val="22"/>
          <w:szCs w:val="22"/>
          <w:lang w:val="en-GB"/>
        </w:rPr>
        <w:t>rather do not feel it</w:t>
      </w:r>
      <w:r w:rsidR="00680C40" w:rsidRPr="00751A0E">
        <w:rPr>
          <w:spacing w:val="-2"/>
          <w:sz w:val="22"/>
          <w:szCs w:val="22"/>
          <w:lang w:val="en-GB"/>
        </w:rPr>
        <w:t>"</w:t>
      </w:r>
      <w:r w:rsidR="00285C68" w:rsidRPr="00751A0E">
        <w:rPr>
          <w:spacing w:val="-2"/>
          <w:sz w:val="22"/>
          <w:szCs w:val="22"/>
          <w:lang w:val="en-GB"/>
        </w:rPr>
        <w:t xml:space="preserve"> (-1), </w:t>
      </w:r>
      <w:r w:rsidR="00680C40" w:rsidRPr="00751A0E">
        <w:rPr>
          <w:spacing w:val="-2"/>
          <w:sz w:val="22"/>
          <w:szCs w:val="22"/>
          <w:lang w:val="en-GB"/>
        </w:rPr>
        <w:t>"</w:t>
      </w:r>
      <w:r w:rsidR="00285C68" w:rsidRPr="00751A0E">
        <w:rPr>
          <w:spacing w:val="-2"/>
          <w:sz w:val="22"/>
          <w:szCs w:val="22"/>
          <w:lang w:val="en-GB"/>
        </w:rPr>
        <w:t>rather feel it</w:t>
      </w:r>
      <w:r w:rsidR="00680C40" w:rsidRPr="00751A0E">
        <w:rPr>
          <w:spacing w:val="-2"/>
          <w:sz w:val="22"/>
          <w:szCs w:val="22"/>
          <w:lang w:val="en-GB"/>
        </w:rPr>
        <w:t>"</w:t>
      </w:r>
      <w:r w:rsidR="00285C68" w:rsidRPr="00751A0E">
        <w:rPr>
          <w:spacing w:val="-2"/>
          <w:sz w:val="22"/>
          <w:szCs w:val="22"/>
          <w:lang w:val="en-GB"/>
        </w:rPr>
        <w:t xml:space="preserve"> (+1) and</w:t>
      </w:r>
      <w:r w:rsidR="00680C40" w:rsidRPr="00751A0E">
        <w:rPr>
          <w:spacing w:val="-2"/>
          <w:sz w:val="22"/>
          <w:szCs w:val="22"/>
          <w:lang w:val="en-GB"/>
        </w:rPr>
        <w:t xml:space="preserve"> "</w:t>
      </w:r>
      <w:r w:rsidR="00285C68" w:rsidRPr="00751A0E">
        <w:rPr>
          <w:spacing w:val="-2"/>
          <w:sz w:val="22"/>
          <w:szCs w:val="22"/>
          <w:lang w:val="en-GB"/>
        </w:rPr>
        <w:t>definitely feel it</w:t>
      </w:r>
      <w:r w:rsidR="00680C40" w:rsidRPr="00751A0E">
        <w:rPr>
          <w:spacing w:val="-2"/>
          <w:sz w:val="22"/>
          <w:szCs w:val="22"/>
          <w:lang w:val="en-GB"/>
        </w:rPr>
        <w:t>"</w:t>
      </w:r>
      <w:r w:rsidR="00285C68" w:rsidRPr="00751A0E">
        <w:rPr>
          <w:spacing w:val="-2"/>
          <w:sz w:val="22"/>
          <w:szCs w:val="22"/>
          <w:lang w:val="en-GB"/>
        </w:rPr>
        <w:t xml:space="preserve"> (+2).</w:t>
      </w:r>
    </w:p>
    <w:p w14:paraId="3BBA8056" w14:textId="77777777" w:rsidR="00D62B45" w:rsidRPr="00F0716B" w:rsidRDefault="003021D2" w:rsidP="00D62B45">
      <w:pPr>
        <w:ind w:firstLine="284"/>
        <w:jc w:val="both"/>
        <w:rPr>
          <w:sz w:val="22"/>
          <w:szCs w:val="22"/>
          <w:lang w:val="en-GB"/>
        </w:rPr>
      </w:pPr>
      <w:r w:rsidRPr="00F0716B">
        <w:rPr>
          <w:sz w:val="22"/>
          <w:szCs w:val="22"/>
          <w:lang w:val="en-GB"/>
        </w:rPr>
        <w:t xml:space="preserve">The first SBS symptom to consider is dizziness. </w:t>
      </w:r>
      <w:r w:rsidR="00285C68" w:rsidRPr="00F0716B">
        <w:rPr>
          <w:sz w:val="22"/>
          <w:szCs w:val="22"/>
          <w:lang w:val="en-GB"/>
        </w:rPr>
        <w:t xml:space="preserve">Figure 2 shows </w:t>
      </w:r>
      <w:r w:rsidR="00DA5DA0" w:rsidRPr="00F0716B">
        <w:rPr>
          <w:sz w:val="22"/>
          <w:szCs w:val="22"/>
          <w:lang w:val="en-GB"/>
        </w:rPr>
        <w:t>the test results as a frequency count of each answer to the question</w:t>
      </w:r>
      <w:r w:rsidR="00D62B45" w:rsidRPr="00F0716B">
        <w:rPr>
          <w:sz w:val="22"/>
          <w:szCs w:val="22"/>
          <w:lang w:val="en-GB"/>
        </w:rPr>
        <w:t xml:space="preserve"> </w:t>
      </w:r>
      <w:r w:rsidR="00680C40">
        <w:rPr>
          <w:sz w:val="22"/>
          <w:szCs w:val="22"/>
          <w:lang w:val="en-GB"/>
        </w:rPr>
        <w:t>"</w:t>
      </w:r>
      <w:r w:rsidR="00D62B45" w:rsidRPr="00F0716B">
        <w:rPr>
          <w:sz w:val="22"/>
          <w:szCs w:val="22"/>
          <w:lang w:val="en-GB"/>
        </w:rPr>
        <w:t>Do you feel dizziness and to what extent?</w:t>
      </w:r>
      <w:r w:rsidR="00680C40">
        <w:rPr>
          <w:sz w:val="22"/>
          <w:szCs w:val="22"/>
          <w:lang w:val="en-GB"/>
        </w:rPr>
        <w:t>"</w:t>
      </w:r>
      <w:r w:rsidR="00D62B45" w:rsidRPr="00F0716B">
        <w:rPr>
          <w:sz w:val="22"/>
          <w:szCs w:val="22"/>
          <w:lang w:val="en-GB"/>
        </w:rPr>
        <w:t xml:space="preserve"> separately for women and men.</w:t>
      </w:r>
    </w:p>
    <w:p w14:paraId="7CDA2FBE" w14:textId="77777777" w:rsidR="003958C9" w:rsidRPr="00C1031F" w:rsidRDefault="003958C9" w:rsidP="003958C9">
      <w:pPr>
        <w:ind w:firstLine="284"/>
        <w:jc w:val="both"/>
        <w:rPr>
          <w:spacing w:val="-2"/>
          <w:sz w:val="22"/>
          <w:szCs w:val="22"/>
          <w:lang w:val="en-GB" w:eastAsia="en-GB"/>
        </w:rPr>
      </w:pPr>
      <w:r w:rsidRPr="00C1031F">
        <w:rPr>
          <w:spacing w:val="-2"/>
          <w:sz w:val="22"/>
          <w:szCs w:val="22"/>
          <w:lang w:val="en-GB" w:eastAsia="en-GB"/>
        </w:rPr>
        <w:t xml:space="preserve">Dizziness was </w:t>
      </w:r>
      <w:r w:rsidR="00680C40" w:rsidRPr="00C1031F">
        <w:rPr>
          <w:spacing w:val="-2"/>
          <w:sz w:val="22"/>
          <w:szCs w:val="22"/>
          <w:lang w:val="en-GB" w:eastAsia="en-GB"/>
        </w:rPr>
        <w:t xml:space="preserve">mostly </w:t>
      </w:r>
      <w:r w:rsidRPr="00C1031F">
        <w:rPr>
          <w:spacing w:val="-2"/>
          <w:sz w:val="22"/>
          <w:szCs w:val="22"/>
          <w:lang w:val="en-GB" w:eastAsia="en-GB"/>
        </w:rPr>
        <w:t>felt by women – about 15% of the combined answers (+1) and (</w:t>
      </w:r>
      <w:r w:rsidR="00FF5FEB" w:rsidRPr="00C1031F">
        <w:rPr>
          <w:spacing w:val="-2"/>
          <w:sz w:val="22"/>
          <w:szCs w:val="22"/>
          <w:lang w:val="en-GB" w:eastAsia="en-GB"/>
        </w:rPr>
        <w:t>+</w:t>
      </w:r>
      <w:r w:rsidRPr="00C1031F">
        <w:rPr>
          <w:spacing w:val="-2"/>
          <w:sz w:val="22"/>
          <w:szCs w:val="22"/>
          <w:lang w:val="en-GB" w:eastAsia="en-GB"/>
        </w:rPr>
        <w:t>2) and slightly fewer men (11%). The rest of the group did not feel the stated discomfort. However, a worrying phenomenon is that almost 5% of women definitely felt dizziness when occupying the room. Dizziness could be caused by the high temperature during the lecture and a relatively high level of carbon dioxide in the room.</w:t>
      </w:r>
    </w:p>
    <w:p w14:paraId="59667752" w14:textId="77777777" w:rsidR="00723200" w:rsidRPr="00C1031F" w:rsidRDefault="003958C9" w:rsidP="00876BB2">
      <w:pPr>
        <w:ind w:firstLine="284"/>
        <w:jc w:val="both"/>
        <w:rPr>
          <w:spacing w:val="-2"/>
          <w:sz w:val="22"/>
          <w:szCs w:val="22"/>
          <w:lang w:val="en-GB" w:eastAsia="en-GB"/>
        </w:rPr>
      </w:pPr>
      <w:r w:rsidRPr="00C1031F">
        <w:rPr>
          <w:spacing w:val="-2"/>
          <w:sz w:val="22"/>
          <w:szCs w:val="22"/>
          <w:lang w:val="en-GB" w:eastAsia="en-GB"/>
        </w:rPr>
        <w:t xml:space="preserve">The next question in the questionnaire </w:t>
      </w:r>
      <w:r w:rsidR="00D62B45" w:rsidRPr="00C1031F">
        <w:rPr>
          <w:spacing w:val="-2"/>
          <w:sz w:val="22"/>
          <w:szCs w:val="22"/>
          <w:lang w:val="en-GB" w:eastAsia="en-GB"/>
        </w:rPr>
        <w:t xml:space="preserve">was focused on eye pain. </w:t>
      </w:r>
      <w:r w:rsidR="00876BB2" w:rsidRPr="00C1031F">
        <w:rPr>
          <w:spacing w:val="-2"/>
          <w:sz w:val="22"/>
          <w:szCs w:val="22"/>
          <w:lang w:val="en-GB" w:eastAsia="en-GB"/>
        </w:rPr>
        <w:t>As before, t</w:t>
      </w:r>
      <w:r w:rsidR="00D62B45" w:rsidRPr="00C1031F">
        <w:rPr>
          <w:spacing w:val="-2"/>
          <w:sz w:val="22"/>
          <w:szCs w:val="22"/>
          <w:lang w:val="en-GB" w:eastAsia="en-GB"/>
        </w:rPr>
        <w:t xml:space="preserve">he students were asked if they felt it and to what extent. </w:t>
      </w:r>
      <w:r w:rsidRPr="00C1031F">
        <w:rPr>
          <w:spacing w:val="-2"/>
          <w:sz w:val="22"/>
          <w:szCs w:val="22"/>
          <w:lang w:val="en-GB" w:eastAsia="en-GB"/>
        </w:rPr>
        <w:t xml:space="preserve">Figure 3 shows the results </w:t>
      </w:r>
      <w:r w:rsidR="00D62B45" w:rsidRPr="00C1031F">
        <w:rPr>
          <w:spacing w:val="-2"/>
          <w:sz w:val="22"/>
          <w:szCs w:val="22"/>
          <w:lang w:val="en-GB" w:eastAsia="en-GB"/>
        </w:rPr>
        <w:t>from the questionnaire survey as the frequency count</w:t>
      </w:r>
      <w:r w:rsidRPr="00C1031F">
        <w:rPr>
          <w:spacing w:val="-2"/>
          <w:sz w:val="22"/>
          <w:szCs w:val="22"/>
          <w:lang w:val="en-GB" w:eastAsia="en-GB"/>
        </w:rPr>
        <w:t>.</w:t>
      </w:r>
    </w:p>
    <w:p w14:paraId="4AFC62D3" w14:textId="77777777" w:rsidR="0079297D" w:rsidRPr="00F0716B" w:rsidRDefault="0079297D" w:rsidP="0079297D">
      <w:pPr>
        <w:ind w:firstLine="284"/>
        <w:jc w:val="both"/>
        <w:rPr>
          <w:sz w:val="22"/>
          <w:szCs w:val="22"/>
          <w:lang w:val="en-GB"/>
        </w:rPr>
      </w:pPr>
      <w:r w:rsidRPr="00F0716B">
        <w:rPr>
          <w:sz w:val="22"/>
          <w:szCs w:val="22"/>
          <w:lang w:val="en-GB"/>
        </w:rPr>
        <w:t>9.5% of women in the analysed lecture room definitely experienced eye pain. Moreover, the same number of women indicated that they also rather experienced eye pain (while the share of men was almost identical and amounted to 9.1%). This value is quite large and should call for attention, not only because of the health issues but because it might affect the clear vision of the material being taught during the lecture. Maybe poor lighting conditions in the room were responsible for such a large number of complaints. The illuminance value was not measured</w:t>
      </w:r>
      <w:r w:rsidR="00680C40">
        <w:rPr>
          <w:sz w:val="22"/>
          <w:szCs w:val="22"/>
          <w:lang w:val="en-GB"/>
        </w:rPr>
        <w:t>,</w:t>
      </w:r>
      <w:r w:rsidRPr="00F0716B">
        <w:rPr>
          <w:sz w:val="22"/>
          <w:szCs w:val="22"/>
          <w:lang w:val="en-GB"/>
        </w:rPr>
        <w:t xml:space="preserve"> and this issue cannot be addressed in detail</w:t>
      </w:r>
      <w:r w:rsidR="00680C40">
        <w:rPr>
          <w:sz w:val="22"/>
          <w:szCs w:val="22"/>
          <w:lang w:val="en-GB"/>
        </w:rPr>
        <w:t>;</w:t>
      </w:r>
      <w:r w:rsidRPr="00F0716B">
        <w:rPr>
          <w:sz w:val="22"/>
          <w:szCs w:val="22"/>
          <w:lang w:val="en-GB"/>
        </w:rPr>
        <w:t xml:space="preserve"> however, the questionnaire contained a</w:t>
      </w:r>
      <w:r w:rsidR="00751A0E">
        <w:rPr>
          <w:sz w:val="22"/>
          <w:szCs w:val="22"/>
          <w:lang w:val="en-GB"/>
        </w:rPr>
        <w:t> </w:t>
      </w:r>
      <w:r w:rsidRPr="00F0716B">
        <w:rPr>
          <w:sz w:val="22"/>
          <w:szCs w:val="22"/>
          <w:lang w:val="en-GB"/>
        </w:rPr>
        <w:t>question about the assessment of lighting conditions</w:t>
      </w:r>
      <w:r w:rsidR="00680C40">
        <w:rPr>
          <w:sz w:val="22"/>
          <w:szCs w:val="22"/>
          <w:lang w:val="en-GB"/>
        </w:rPr>
        <w:t>,</w:t>
      </w:r>
      <w:r w:rsidRPr="00F0716B">
        <w:rPr>
          <w:sz w:val="22"/>
          <w:szCs w:val="22"/>
          <w:lang w:val="en-GB"/>
        </w:rPr>
        <w:t xml:space="preserve"> and 8.7% of the respondents considered lighting in the room as being poor (while 36.3% thought the room was bright and 55% that it was bright enough). </w:t>
      </w:r>
      <w:r w:rsidRPr="00C1031F">
        <w:rPr>
          <w:spacing w:val="-2"/>
          <w:sz w:val="22"/>
          <w:szCs w:val="22"/>
          <w:lang w:val="en-GB"/>
        </w:rPr>
        <w:t>It</w:t>
      </w:r>
      <w:r w:rsidR="00751A0E">
        <w:rPr>
          <w:spacing w:val="-2"/>
          <w:sz w:val="22"/>
          <w:szCs w:val="22"/>
          <w:lang w:val="en-GB"/>
        </w:rPr>
        <w:t> </w:t>
      </w:r>
      <w:r w:rsidRPr="00C1031F">
        <w:rPr>
          <w:spacing w:val="-2"/>
          <w:sz w:val="22"/>
          <w:szCs w:val="22"/>
          <w:lang w:val="en-GB"/>
        </w:rPr>
        <w:t>might explain the eye pain of those who might have had poor lighting at their sitting location in the room. Nevertheless, over 80% of women and over 90% of men did not report this ailment during the measurements.</w:t>
      </w:r>
    </w:p>
    <w:p w14:paraId="4F6810EB" w14:textId="77777777" w:rsidR="00033D08" w:rsidRPr="00F0716B" w:rsidRDefault="00033D08" w:rsidP="0079297D">
      <w:pPr>
        <w:jc w:val="both"/>
        <w:rPr>
          <w:sz w:val="22"/>
          <w:szCs w:val="22"/>
          <w:lang w:val="en-GB" w:eastAsia="en-GB"/>
        </w:rPr>
      </w:pPr>
    </w:p>
    <w:tbl>
      <w:tblPr>
        <w:tblW w:w="0" w:type="auto"/>
        <w:tblLook w:val="04A0" w:firstRow="1" w:lastRow="0" w:firstColumn="1" w:lastColumn="0" w:noHBand="0" w:noVBand="1"/>
      </w:tblPr>
      <w:tblGrid>
        <w:gridCol w:w="4889"/>
        <w:gridCol w:w="4890"/>
      </w:tblGrid>
      <w:tr w:rsidR="0079297D" w14:paraId="123F73CE" w14:textId="77777777">
        <w:tc>
          <w:tcPr>
            <w:tcW w:w="4889" w:type="dxa"/>
            <w:shd w:val="clear" w:color="auto" w:fill="auto"/>
            <w:vAlign w:val="bottom"/>
          </w:tcPr>
          <w:p w14:paraId="665DE029" w14:textId="77777777" w:rsidR="0079297D" w:rsidRDefault="00000000" w:rsidP="00F5793B">
            <w:pPr>
              <w:rPr>
                <w:sz w:val="22"/>
                <w:szCs w:val="22"/>
                <w:lang w:val="en-GB" w:eastAsia="en-GB"/>
              </w:rPr>
            </w:pPr>
            <w:r>
              <w:rPr>
                <w:lang w:val="en-GB"/>
              </w:rPr>
              <w:lastRenderedPageBreak/>
              <w:pict w14:anchorId="77F9EBF6">
                <v:shape id="_x0000_i1026" type="#_x0000_t75" style="width:215pt;height:182pt">
                  <v:imagedata r:id="rId9" o:title="dizziness" croptop="3841f" cropbottom="2305f" cropleft="3232f" cropright="3232f"/>
                </v:shape>
              </w:pict>
            </w:r>
          </w:p>
        </w:tc>
        <w:tc>
          <w:tcPr>
            <w:tcW w:w="4890" w:type="dxa"/>
            <w:shd w:val="clear" w:color="auto" w:fill="auto"/>
            <w:vAlign w:val="bottom"/>
          </w:tcPr>
          <w:p w14:paraId="3A6D681A" w14:textId="77777777" w:rsidR="0079297D" w:rsidRDefault="00000000" w:rsidP="00F5793B">
            <w:pPr>
              <w:rPr>
                <w:sz w:val="22"/>
                <w:szCs w:val="22"/>
                <w:lang w:val="en-GB" w:eastAsia="en-GB"/>
              </w:rPr>
            </w:pPr>
            <w:r>
              <w:rPr>
                <w:lang w:val="en-GB"/>
              </w:rPr>
              <w:pict w14:anchorId="49DE2CFC">
                <v:shape id="_x0000_i1027" type="#_x0000_t75" style="width:3in;height:182pt">
                  <v:imagedata r:id="rId10" o:title="eye pain" croptop="3841f" cropbottom="2305f" cropleft="3221f" cropright="3221f"/>
                </v:shape>
              </w:pict>
            </w:r>
          </w:p>
        </w:tc>
      </w:tr>
      <w:tr w:rsidR="0079297D" w14:paraId="66C5734E" w14:textId="77777777">
        <w:tc>
          <w:tcPr>
            <w:tcW w:w="4889" w:type="dxa"/>
            <w:shd w:val="clear" w:color="auto" w:fill="auto"/>
          </w:tcPr>
          <w:p w14:paraId="274A6ED1" w14:textId="77777777" w:rsidR="0079297D" w:rsidRDefault="0079297D">
            <w:pPr>
              <w:pStyle w:val="Rrys"/>
              <w:rPr>
                <w:sz w:val="22"/>
                <w:szCs w:val="22"/>
                <w:lang w:val="en-GB" w:eastAsia="en-GB"/>
              </w:rPr>
            </w:pPr>
            <w:r>
              <w:rPr>
                <w:b/>
                <w:bCs/>
                <w:lang w:val="en-GB"/>
              </w:rPr>
              <w:t>Fig. 2.</w:t>
            </w:r>
            <w:r>
              <w:rPr>
                <w:lang w:val="en-GB"/>
              </w:rPr>
              <w:t xml:space="preserve"> Responses of the students regarding dizziness</w:t>
            </w:r>
          </w:p>
        </w:tc>
        <w:tc>
          <w:tcPr>
            <w:tcW w:w="4890" w:type="dxa"/>
            <w:shd w:val="clear" w:color="auto" w:fill="auto"/>
          </w:tcPr>
          <w:p w14:paraId="6D8A1E9E" w14:textId="77777777" w:rsidR="0079297D" w:rsidRDefault="0079297D">
            <w:pPr>
              <w:pStyle w:val="Rrys"/>
              <w:rPr>
                <w:sz w:val="22"/>
                <w:szCs w:val="22"/>
                <w:lang w:val="en-GB" w:eastAsia="en-GB"/>
              </w:rPr>
            </w:pPr>
            <w:r>
              <w:rPr>
                <w:b/>
                <w:bCs/>
                <w:lang w:val="en-GB"/>
              </w:rPr>
              <w:t>Fig. 3.</w:t>
            </w:r>
            <w:r>
              <w:rPr>
                <w:lang w:val="en-GB"/>
              </w:rPr>
              <w:t xml:space="preserve"> Responses of the students regarding eye pain</w:t>
            </w:r>
          </w:p>
        </w:tc>
      </w:tr>
    </w:tbl>
    <w:p w14:paraId="3FE5645B" w14:textId="77777777" w:rsidR="0079297D" w:rsidRPr="00F0716B" w:rsidRDefault="0079297D" w:rsidP="0079297D">
      <w:pPr>
        <w:jc w:val="both"/>
        <w:rPr>
          <w:sz w:val="22"/>
          <w:szCs w:val="22"/>
          <w:lang w:val="en-GB" w:eastAsia="en-GB"/>
        </w:rPr>
      </w:pPr>
    </w:p>
    <w:p w14:paraId="5E47DBE9" w14:textId="77777777" w:rsidR="00BA5438" w:rsidRPr="00F0716B" w:rsidRDefault="00CF4D24" w:rsidP="003F03AE">
      <w:pPr>
        <w:ind w:firstLine="284"/>
        <w:jc w:val="both"/>
        <w:rPr>
          <w:sz w:val="22"/>
          <w:szCs w:val="22"/>
          <w:lang w:val="en-GB"/>
        </w:rPr>
      </w:pPr>
      <w:r w:rsidRPr="00F0716B">
        <w:rPr>
          <w:sz w:val="22"/>
          <w:szCs w:val="22"/>
          <w:lang w:val="en-GB"/>
        </w:rPr>
        <w:t xml:space="preserve">Another health aspect </w:t>
      </w:r>
      <w:r w:rsidR="007A6B53" w:rsidRPr="00F0716B">
        <w:rPr>
          <w:sz w:val="22"/>
          <w:szCs w:val="22"/>
          <w:lang w:val="en-GB"/>
        </w:rPr>
        <w:t xml:space="preserve">investigated by the </w:t>
      </w:r>
      <w:r w:rsidR="004953E4" w:rsidRPr="00F0716B">
        <w:rPr>
          <w:sz w:val="22"/>
          <w:szCs w:val="22"/>
          <w:lang w:val="en-GB"/>
        </w:rPr>
        <w:t xml:space="preserve">present </w:t>
      </w:r>
      <w:r w:rsidR="007A6B53" w:rsidRPr="00F0716B">
        <w:rPr>
          <w:sz w:val="22"/>
          <w:szCs w:val="22"/>
          <w:lang w:val="en-GB"/>
        </w:rPr>
        <w:t xml:space="preserve">questionnaire study is nausea. </w:t>
      </w:r>
      <w:r w:rsidRPr="00F0716B">
        <w:rPr>
          <w:sz w:val="22"/>
          <w:szCs w:val="22"/>
          <w:lang w:val="en-GB"/>
        </w:rPr>
        <w:t>Figure 4</w:t>
      </w:r>
      <w:r w:rsidR="007A6B53" w:rsidRPr="00F0716B">
        <w:rPr>
          <w:sz w:val="22"/>
          <w:szCs w:val="22"/>
          <w:lang w:val="en-GB"/>
        </w:rPr>
        <w:t xml:space="preserve"> </w:t>
      </w:r>
      <w:r w:rsidR="007A6B53" w:rsidRPr="00F0716B">
        <w:rPr>
          <w:sz w:val="22"/>
          <w:szCs w:val="22"/>
          <w:lang w:val="en-GB" w:eastAsia="en-GB"/>
        </w:rPr>
        <w:t xml:space="preserve">presents the test results as the frequency count </w:t>
      </w:r>
      <w:r w:rsidR="003F03AE" w:rsidRPr="00F0716B">
        <w:rPr>
          <w:sz w:val="22"/>
          <w:szCs w:val="22"/>
          <w:lang w:val="en-GB" w:eastAsia="en-GB"/>
        </w:rPr>
        <w:t>of the answers provided by</w:t>
      </w:r>
      <w:r w:rsidR="007A6B53" w:rsidRPr="00F0716B">
        <w:rPr>
          <w:sz w:val="22"/>
          <w:szCs w:val="22"/>
          <w:lang w:val="en-GB" w:eastAsia="en-GB"/>
        </w:rPr>
        <w:t xml:space="preserve"> women and men</w:t>
      </w:r>
      <w:r w:rsidR="00FB6587" w:rsidRPr="00F0716B">
        <w:rPr>
          <w:sz w:val="22"/>
          <w:szCs w:val="22"/>
          <w:lang w:val="en-GB"/>
        </w:rPr>
        <w:t>.</w:t>
      </w:r>
    </w:p>
    <w:p w14:paraId="05CC6638" w14:textId="77777777" w:rsidR="008644EC" w:rsidRPr="00F0716B" w:rsidRDefault="004953E4" w:rsidP="008644EC">
      <w:pPr>
        <w:ind w:firstLine="284"/>
        <w:jc w:val="both"/>
        <w:rPr>
          <w:sz w:val="22"/>
          <w:szCs w:val="22"/>
          <w:lang w:val="en-GB"/>
        </w:rPr>
      </w:pPr>
      <w:r w:rsidRPr="00F0716B">
        <w:rPr>
          <w:sz w:val="22"/>
          <w:szCs w:val="22"/>
          <w:lang w:val="en-GB"/>
        </w:rPr>
        <w:t xml:space="preserve">Figure 4 provides information about the appearance of nausea after </w:t>
      </w:r>
      <w:r w:rsidR="00680C40">
        <w:rPr>
          <w:sz w:val="22"/>
          <w:szCs w:val="22"/>
          <w:lang w:val="en-GB"/>
        </w:rPr>
        <w:t xml:space="preserve">a </w:t>
      </w:r>
      <w:r w:rsidRPr="00F0716B">
        <w:rPr>
          <w:sz w:val="22"/>
          <w:szCs w:val="22"/>
          <w:lang w:val="en-GB"/>
        </w:rPr>
        <w:t xml:space="preserve">prolonged stay </w:t>
      </w:r>
      <w:r w:rsidR="00CD2631" w:rsidRPr="00F0716B">
        <w:rPr>
          <w:sz w:val="22"/>
          <w:szCs w:val="22"/>
          <w:lang w:val="en-GB"/>
        </w:rPr>
        <w:t xml:space="preserve">indoors – namely </w:t>
      </w:r>
      <w:r w:rsidRPr="00F0716B">
        <w:rPr>
          <w:sz w:val="22"/>
          <w:szCs w:val="22"/>
          <w:lang w:val="en-GB"/>
        </w:rPr>
        <w:t xml:space="preserve">in the lecture hall. </w:t>
      </w:r>
      <w:r w:rsidR="008644EC" w:rsidRPr="00F0716B">
        <w:rPr>
          <w:sz w:val="22"/>
          <w:szCs w:val="22"/>
          <w:lang w:val="en-GB"/>
        </w:rPr>
        <w:t>It turned out that</w:t>
      </w:r>
      <w:r w:rsidRPr="00F0716B">
        <w:rPr>
          <w:sz w:val="22"/>
          <w:szCs w:val="22"/>
          <w:lang w:val="en-GB"/>
        </w:rPr>
        <w:t xml:space="preserve"> no women </w:t>
      </w:r>
      <w:r w:rsidR="008644EC" w:rsidRPr="00F0716B">
        <w:rPr>
          <w:sz w:val="22"/>
          <w:szCs w:val="22"/>
          <w:lang w:val="en-GB"/>
        </w:rPr>
        <w:t>experienced</w:t>
      </w:r>
      <w:r w:rsidRPr="00F0716B">
        <w:rPr>
          <w:sz w:val="22"/>
          <w:szCs w:val="22"/>
          <w:lang w:val="en-GB"/>
        </w:rPr>
        <w:t xml:space="preserve"> nausea </w:t>
      </w:r>
      <w:r w:rsidR="008644EC" w:rsidRPr="00F0716B">
        <w:rPr>
          <w:sz w:val="22"/>
          <w:szCs w:val="22"/>
          <w:lang w:val="en-GB"/>
        </w:rPr>
        <w:t>(</w:t>
      </w:r>
      <w:r w:rsidR="00CD2631" w:rsidRPr="00F0716B">
        <w:rPr>
          <w:sz w:val="22"/>
          <w:szCs w:val="22"/>
          <w:lang w:val="en-GB"/>
        </w:rPr>
        <w:t xml:space="preserve">thus, </w:t>
      </w:r>
      <w:r w:rsidRPr="00F0716B">
        <w:rPr>
          <w:sz w:val="22"/>
          <w:szCs w:val="22"/>
          <w:lang w:val="en-GB"/>
        </w:rPr>
        <w:t>100% of them marked (-1) and (-2)</w:t>
      </w:r>
      <w:r w:rsidR="008644EC" w:rsidRPr="00F0716B">
        <w:rPr>
          <w:sz w:val="22"/>
          <w:szCs w:val="22"/>
          <w:lang w:val="en-GB"/>
        </w:rPr>
        <w:t>)</w:t>
      </w:r>
      <w:r w:rsidRPr="00F0716B">
        <w:rPr>
          <w:sz w:val="22"/>
          <w:szCs w:val="22"/>
          <w:lang w:val="en-GB"/>
        </w:rPr>
        <w:t xml:space="preserve">. </w:t>
      </w:r>
      <w:r w:rsidR="008644EC" w:rsidRPr="00F0716B">
        <w:rPr>
          <w:sz w:val="22"/>
          <w:szCs w:val="22"/>
          <w:lang w:val="en-GB"/>
        </w:rPr>
        <w:t>H</w:t>
      </w:r>
      <w:r w:rsidR="00CD2631" w:rsidRPr="00F0716B">
        <w:rPr>
          <w:sz w:val="22"/>
          <w:szCs w:val="22"/>
          <w:lang w:val="en-GB"/>
        </w:rPr>
        <w:t xml:space="preserve">owever, </w:t>
      </w:r>
      <w:r w:rsidR="008644EC" w:rsidRPr="00F0716B">
        <w:rPr>
          <w:sz w:val="22"/>
          <w:szCs w:val="22"/>
          <w:lang w:val="en-GB"/>
        </w:rPr>
        <w:t>three men (</w:t>
      </w:r>
      <w:r w:rsidR="00680C40">
        <w:rPr>
          <w:sz w:val="22"/>
          <w:szCs w:val="22"/>
          <w:lang w:val="en-GB"/>
        </w:rPr>
        <w:t>6.8% of men</w:t>
      </w:r>
      <w:r w:rsidR="00CD2631" w:rsidRPr="00F0716B">
        <w:rPr>
          <w:sz w:val="22"/>
          <w:szCs w:val="22"/>
          <w:lang w:val="en-GB"/>
        </w:rPr>
        <w:t xml:space="preserve"> </w:t>
      </w:r>
      <w:r w:rsidR="008644EC" w:rsidRPr="00F0716B">
        <w:rPr>
          <w:sz w:val="22"/>
          <w:szCs w:val="22"/>
          <w:lang w:val="en-GB"/>
        </w:rPr>
        <w:t>in the room) confessed that they experienced or rather experienced</w:t>
      </w:r>
      <w:r w:rsidRPr="00F0716B">
        <w:rPr>
          <w:sz w:val="22"/>
          <w:szCs w:val="22"/>
          <w:lang w:val="en-GB"/>
        </w:rPr>
        <w:t xml:space="preserve"> nausea.</w:t>
      </w:r>
      <w:r w:rsidR="008644EC" w:rsidRPr="00F0716B">
        <w:rPr>
          <w:sz w:val="22"/>
          <w:szCs w:val="22"/>
          <w:lang w:val="en-GB"/>
        </w:rPr>
        <w:t xml:space="preserve"> If this health problem had not been caused by something else (e.g. </w:t>
      </w:r>
      <w:proofErr w:type="spellStart"/>
      <w:r w:rsidR="008644EC" w:rsidRPr="00F0716B">
        <w:rPr>
          <w:sz w:val="22"/>
          <w:szCs w:val="22"/>
          <w:lang w:val="en-GB"/>
        </w:rPr>
        <w:t>unfresh</w:t>
      </w:r>
      <w:proofErr w:type="spellEnd"/>
      <w:r w:rsidR="008644EC" w:rsidRPr="00F0716B">
        <w:rPr>
          <w:sz w:val="22"/>
          <w:szCs w:val="22"/>
          <w:lang w:val="en-GB"/>
        </w:rPr>
        <w:t xml:space="preserve"> food, some medication taken by these people, hunger</w:t>
      </w:r>
      <w:r w:rsidR="00680C40">
        <w:rPr>
          <w:sz w:val="22"/>
          <w:szCs w:val="22"/>
          <w:lang w:val="en-GB"/>
        </w:rPr>
        <w:t>,</w:t>
      </w:r>
      <w:r w:rsidR="008644EC" w:rsidRPr="00F0716B">
        <w:rPr>
          <w:sz w:val="22"/>
          <w:szCs w:val="22"/>
          <w:lang w:val="en-GB"/>
        </w:rPr>
        <w:t xml:space="preserve"> etc.), </w:t>
      </w:r>
      <w:r w:rsidR="007A65C7" w:rsidRPr="00F0716B">
        <w:rPr>
          <w:sz w:val="22"/>
          <w:szCs w:val="22"/>
          <w:lang w:val="en-GB"/>
        </w:rPr>
        <w:t>the indoor environments (e.g. elevated temperature or</w:t>
      </w:r>
      <w:r w:rsidRPr="00F0716B">
        <w:rPr>
          <w:sz w:val="22"/>
          <w:szCs w:val="22"/>
          <w:lang w:val="en-GB"/>
        </w:rPr>
        <w:t xml:space="preserve"> air quali</w:t>
      </w:r>
      <w:r w:rsidR="008644EC" w:rsidRPr="00F0716B">
        <w:rPr>
          <w:sz w:val="22"/>
          <w:szCs w:val="22"/>
          <w:lang w:val="en-GB"/>
        </w:rPr>
        <w:t>ty</w:t>
      </w:r>
      <w:r w:rsidR="007A65C7" w:rsidRPr="00F0716B">
        <w:rPr>
          <w:sz w:val="22"/>
          <w:szCs w:val="22"/>
          <w:lang w:val="en-GB"/>
        </w:rPr>
        <w:t>)</w:t>
      </w:r>
      <w:r w:rsidR="008644EC" w:rsidRPr="00F0716B">
        <w:rPr>
          <w:sz w:val="22"/>
          <w:szCs w:val="22"/>
          <w:lang w:val="en-GB"/>
        </w:rPr>
        <w:t xml:space="preserve"> could have contributed to this state</w:t>
      </w:r>
      <w:r w:rsidR="007A65C7" w:rsidRPr="00F0716B">
        <w:rPr>
          <w:sz w:val="22"/>
          <w:szCs w:val="22"/>
          <w:lang w:val="en-GB"/>
        </w:rPr>
        <w:t xml:space="preserve"> and such a response in the questionnaire</w:t>
      </w:r>
      <w:r w:rsidR="008644EC" w:rsidRPr="00F0716B">
        <w:rPr>
          <w:sz w:val="22"/>
          <w:szCs w:val="22"/>
          <w:lang w:val="en-GB"/>
        </w:rPr>
        <w:t xml:space="preserve">. </w:t>
      </w:r>
    </w:p>
    <w:p w14:paraId="0D7A2D64" w14:textId="77777777" w:rsidR="003B6DC3" w:rsidRPr="00F0716B" w:rsidRDefault="004953E4" w:rsidP="000C4423">
      <w:pPr>
        <w:ind w:firstLine="284"/>
        <w:jc w:val="both"/>
        <w:rPr>
          <w:sz w:val="22"/>
          <w:szCs w:val="22"/>
          <w:lang w:val="en-GB"/>
        </w:rPr>
      </w:pPr>
      <w:r w:rsidRPr="00F0716B">
        <w:rPr>
          <w:sz w:val="22"/>
          <w:szCs w:val="22"/>
          <w:lang w:val="en-GB"/>
        </w:rPr>
        <w:t>The last ailment is the appearance of irritation of the nasal mucosa (including frequent sneezing, itching, burning around the nose and nasal congestion). Th</w:t>
      </w:r>
      <w:r w:rsidR="000C4423" w:rsidRPr="00F0716B">
        <w:rPr>
          <w:sz w:val="22"/>
          <w:szCs w:val="22"/>
          <w:lang w:val="en-GB"/>
        </w:rPr>
        <w:t xml:space="preserve">e </w:t>
      </w:r>
      <w:r w:rsidR="00680C40">
        <w:rPr>
          <w:sz w:val="22"/>
          <w:szCs w:val="22"/>
          <w:lang w:val="en-GB"/>
        </w:rPr>
        <w:t>survey results</w:t>
      </w:r>
      <w:r w:rsidR="000C4423" w:rsidRPr="00F0716B">
        <w:rPr>
          <w:sz w:val="22"/>
          <w:szCs w:val="22"/>
          <w:lang w:val="en-GB"/>
        </w:rPr>
        <w:t xml:space="preserve"> regarding this health problem are</w:t>
      </w:r>
      <w:r w:rsidRPr="00F0716B">
        <w:rPr>
          <w:sz w:val="22"/>
          <w:szCs w:val="22"/>
          <w:lang w:val="en-GB"/>
        </w:rPr>
        <w:t xml:space="preserve"> shown </w:t>
      </w:r>
      <w:r w:rsidR="007A65C7" w:rsidRPr="00F0716B">
        <w:rPr>
          <w:sz w:val="22"/>
          <w:szCs w:val="22"/>
          <w:lang w:val="en-GB"/>
        </w:rPr>
        <w:t xml:space="preserve">below </w:t>
      </w:r>
      <w:r w:rsidRPr="00F0716B">
        <w:rPr>
          <w:sz w:val="22"/>
          <w:szCs w:val="22"/>
          <w:lang w:val="en-GB"/>
        </w:rPr>
        <w:t>in Figure 5</w:t>
      </w:r>
      <w:r w:rsidR="003B6DC3" w:rsidRPr="00F0716B">
        <w:rPr>
          <w:sz w:val="22"/>
          <w:szCs w:val="22"/>
          <w:lang w:val="en-GB"/>
        </w:rPr>
        <w:t>.</w:t>
      </w:r>
    </w:p>
    <w:p w14:paraId="232C0DE7" w14:textId="77777777" w:rsidR="00FB6587" w:rsidRPr="00F0716B" w:rsidRDefault="00FB6587" w:rsidP="003B6DC3">
      <w:pPr>
        <w:pStyle w:val="Paragraph"/>
        <w:rPr>
          <w:lang w:val="en-GB"/>
        </w:rPr>
      </w:pPr>
    </w:p>
    <w:tbl>
      <w:tblPr>
        <w:tblW w:w="0" w:type="auto"/>
        <w:tblLook w:val="04A0" w:firstRow="1" w:lastRow="0" w:firstColumn="1" w:lastColumn="0" w:noHBand="0" w:noVBand="1"/>
      </w:tblPr>
      <w:tblGrid>
        <w:gridCol w:w="4889"/>
        <w:gridCol w:w="4890"/>
      </w:tblGrid>
      <w:tr w:rsidR="0079297D" w14:paraId="36F9A57D" w14:textId="77777777">
        <w:tc>
          <w:tcPr>
            <w:tcW w:w="4889" w:type="dxa"/>
            <w:shd w:val="clear" w:color="auto" w:fill="auto"/>
            <w:vAlign w:val="bottom"/>
          </w:tcPr>
          <w:p w14:paraId="6C1E0FB6" w14:textId="77777777" w:rsidR="0079297D" w:rsidRDefault="00000000">
            <w:pPr>
              <w:pStyle w:val="Paragraph"/>
              <w:ind w:firstLine="0"/>
              <w:jc w:val="left"/>
              <w:rPr>
                <w:lang w:val="en-GB"/>
              </w:rPr>
            </w:pPr>
            <w:r>
              <w:rPr>
                <w:lang w:val="en-GB"/>
              </w:rPr>
              <w:pict w14:anchorId="6B7099AF">
                <v:shape id="_x0000_i1028" type="#_x0000_t75" style="width:216.5pt;height:180pt">
                  <v:imagedata r:id="rId11" o:title="nausea" croptop="4610f" cropbottom="2305f" cropleft="3214f" cropright="3214f"/>
                </v:shape>
              </w:pict>
            </w:r>
          </w:p>
        </w:tc>
        <w:tc>
          <w:tcPr>
            <w:tcW w:w="4890" w:type="dxa"/>
            <w:shd w:val="clear" w:color="auto" w:fill="auto"/>
            <w:vAlign w:val="bottom"/>
          </w:tcPr>
          <w:p w14:paraId="584DAD2E" w14:textId="77777777" w:rsidR="0079297D" w:rsidRDefault="00000000">
            <w:pPr>
              <w:pStyle w:val="Paragraph"/>
              <w:ind w:firstLine="0"/>
              <w:jc w:val="left"/>
              <w:rPr>
                <w:lang w:val="en-GB"/>
              </w:rPr>
            </w:pPr>
            <w:r>
              <w:rPr>
                <w:lang w:val="en-GB"/>
              </w:rPr>
              <w:pict w14:anchorId="59C4BC1E">
                <v:shape id="_x0000_i1029" type="#_x0000_t75" style="width:215pt;height:177.5pt">
                  <v:imagedata r:id="rId12" o:title="nosal mucosa" croptop="4994f" cropbottom="2689f" cropleft="3232f" cropright="3232f"/>
                </v:shape>
              </w:pict>
            </w:r>
          </w:p>
        </w:tc>
      </w:tr>
      <w:tr w:rsidR="0079297D" w14:paraId="521C9F11" w14:textId="77777777">
        <w:tc>
          <w:tcPr>
            <w:tcW w:w="4889" w:type="dxa"/>
            <w:shd w:val="clear" w:color="auto" w:fill="auto"/>
          </w:tcPr>
          <w:p w14:paraId="224E75D8" w14:textId="77777777" w:rsidR="0079297D" w:rsidRDefault="0079297D">
            <w:pPr>
              <w:pStyle w:val="Rrys"/>
              <w:rPr>
                <w:lang w:val="en-GB"/>
              </w:rPr>
            </w:pPr>
            <w:r>
              <w:rPr>
                <w:b/>
                <w:bCs/>
                <w:lang w:val="en-GB"/>
              </w:rPr>
              <w:t>Fig. 4.</w:t>
            </w:r>
            <w:r>
              <w:rPr>
                <w:lang w:val="en-GB"/>
              </w:rPr>
              <w:t xml:space="preserve"> Responses of the students regarding nausea</w:t>
            </w:r>
          </w:p>
        </w:tc>
        <w:tc>
          <w:tcPr>
            <w:tcW w:w="4890" w:type="dxa"/>
            <w:shd w:val="clear" w:color="auto" w:fill="auto"/>
          </w:tcPr>
          <w:p w14:paraId="370B933F" w14:textId="77777777" w:rsidR="0079297D" w:rsidRDefault="0079297D">
            <w:pPr>
              <w:pStyle w:val="Rrys"/>
              <w:rPr>
                <w:lang w:val="en-GB"/>
              </w:rPr>
            </w:pPr>
            <w:r>
              <w:rPr>
                <w:b/>
                <w:bCs/>
                <w:lang w:val="en-GB"/>
              </w:rPr>
              <w:t>Fig. 5.</w:t>
            </w:r>
            <w:r>
              <w:rPr>
                <w:lang w:val="en-GB"/>
              </w:rPr>
              <w:t xml:space="preserve"> Responses of the students regarding nasal mucosa</w:t>
            </w:r>
          </w:p>
        </w:tc>
      </w:tr>
    </w:tbl>
    <w:p w14:paraId="2F0F3E72" w14:textId="77777777" w:rsidR="0079297D" w:rsidRPr="00F0716B" w:rsidRDefault="0079297D" w:rsidP="0079297D">
      <w:pPr>
        <w:pStyle w:val="Paragraph"/>
        <w:ind w:firstLine="0"/>
        <w:rPr>
          <w:lang w:val="en-GB"/>
        </w:rPr>
      </w:pPr>
    </w:p>
    <w:p w14:paraId="76DB6B22" w14:textId="77777777" w:rsidR="00521674" w:rsidRPr="00F0716B" w:rsidRDefault="00521674" w:rsidP="000D366B">
      <w:pPr>
        <w:ind w:firstLine="284"/>
        <w:jc w:val="both"/>
        <w:rPr>
          <w:sz w:val="22"/>
          <w:szCs w:val="22"/>
          <w:lang w:val="en-GB"/>
        </w:rPr>
      </w:pPr>
      <w:r w:rsidRPr="00F0716B">
        <w:rPr>
          <w:sz w:val="22"/>
          <w:szCs w:val="22"/>
          <w:lang w:val="en-GB"/>
        </w:rPr>
        <w:t>As can be seen</w:t>
      </w:r>
      <w:r w:rsidR="00680C40">
        <w:rPr>
          <w:sz w:val="22"/>
          <w:szCs w:val="22"/>
          <w:lang w:val="en-GB"/>
        </w:rPr>
        <w:t>,</w:t>
      </w:r>
      <w:r w:rsidRPr="00F0716B">
        <w:rPr>
          <w:sz w:val="22"/>
          <w:szCs w:val="22"/>
          <w:lang w:val="en-GB"/>
        </w:rPr>
        <w:t xml:space="preserve"> ca. 19% of women and ca. 9% of men marked the answers (+2) and (+1)</w:t>
      </w:r>
      <w:r w:rsidR="00680C40">
        <w:rPr>
          <w:sz w:val="22"/>
          <w:szCs w:val="22"/>
          <w:lang w:val="en-GB"/>
        </w:rPr>
        <w:t>,</w:t>
      </w:r>
      <w:r w:rsidRPr="00F0716B">
        <w:rPr>
          <w:sz w:val="22"/>
          <w:szCs w:val="22"/>
          <w:lang w:val="en-GB"/>
        </w:rPr>
        <w:t xml:space="preserve"> confirming the occurrence or a possible occurrence of this problem. The rest of the group </w:t>
      </w:r>
      <w:r w:rsidR="00680C40">
        <w:rPr>
          <w:sz w:val="22"/>
          <w:szCs w:val="22"/>
          <w:lang w:val="en-GB"/>
        </w:rPr>
        <w:t>answered</w:t>
      </w:r>
      <w:r w:rsidRPr="00F0716B">
        <w:rPr>
          <w:sz w:val="22"/>
          <w:szCs w:val="22"/>
          <w:lang w:val="en-GB"/>
        </w:rPr>
        <w:t xml:space="preserve"> (-1) and (-2). The reason for the appearance of a runny nose, and at the same time</w:t>
      </w:r>
      <w:r w:rsidR="00680C40">
        <w:rPr>
          <w:sz w:val="22"/>
          <w:szCs w:val="22"/>
          <w:lang w:val="en-GB"/>
        </w:rPr>
        <w:t>,</w:t>
      </w:r>
      <w:r w:rsidRPr="00F0716B">
        <w:rPr>
          <w:sz w:val="22"/>
          <w:szCs w:val="22"/>
          <w:lang w:val="en-GB"/>
        </w:rPr>
        <w:t xml:space="preserve"> other nasal ailments, could be the presence of solid particles in the air or allergens (which is quite probable considering the fact that the tests were conducted in June). However, these were not measured in the present study. Also</w:t>
      </w:r>
      <w:r w:rsidR="00680C40">
        <w:rPr>
          <w:sz w:val="22"/>
          <w:szCs w:val="22"/>
          <w:lang w:val="en-GB"/>
        </w:rPr>
        <w:t>,</w:t>
      </w:r>
      <w:r w:rsidRPr="00F0716B">
        <w:rPr>
          <w:sz w:val="22"/>
          <w:szCs w:val="22"/>
          <w:lang w:val="en-GB"/>
        </w:rPr>
        <w:t xml:space="preserve"> </w:t>
      </w:r>
      <w:r w:rsidR="000D366B" w:rsidRPr="00F0716B">
        <w:rPr>
          <w:sz w:val="22"/>
          <w:szCs w:val="22"/>
          <w:lang w:val="en-GB"/>
        </w:rPr>
        <w:t xml:space="preserve">other elements of </w:t>
      </w:r>
      <w:r w:rsidRPr="00F0716B">
        <w:rPr>
          <w:sz w:val="22"/>
          <w:szCs w:val="22"/>
          <w:lang w:val="en-GB"/>
        </w:rPr>
        <w:t xml:space="preserve">the indoor environment could have contributed to </w:t>
      </w:r>
      <w:r w:rsidR="000D366B" w:rsidRPr="00F0716B">
        <w:rPr>
          <w:sz w:val="22"/>
          <w:szCs w:val="22"/>
          <w:lang w:val="en-GB"/>
        </w:rPr>
        <w:t>the occurrence of this symptom</w:t>
      </w:r>
      <w:r w:rsidRPr="00F0716B">
        <w:rPr>
          <w:sz w:val="22"/>
          <w:szCs w:val="22"/>
          <w:lang w:val="en-GB"/>
        </w:rPr>
        <w:t>.</w:t>
      </w:r>
      <w:r w:rsidR="00680C40">
        <w:rPr>
          <w:sz w:val="22"/>
          <w:szCs w:val="22"/>
          <w:lang w:val="en-GB"/>
        </w:rPr>
        <w:t xml:space="preserve"> T</w:t>
      </w:r>
      <w:r w:rsidR="000D366B" w:rsidRPr="00F0716B">
        <w:rPr>
          <w:sz w:val="22"/>
          <w:szCs w:val="22"/>
          <w:lang w:val="en-GB"/>
        </w:rPr>
        <w:t>he tests would need to be repeated in winter</w:t>
      </w:r>
      <w:r w:rsidR="00680C40">
        <w:rPr>
          <w:sz w:val="22"/>
          <w:szCs w:val="22"/>
          <w:lang w:val="en-GB"/>
        </w:rPr>
        <w:t xml:space="preserve"> t</w:t>
      </w:r>
      <w:r w:rsidR="00680C40" w:rsidRPr="00F0716B">
        <w:rPr>
          <w:sz w:val="22"/>
          <w:szCs w:val="22"/>
          <w:lang w:val="en-GB"/>
        </w:rPr>
        <w:t>o verify the possible influence of allergens</w:t>
      </w:r>
      <w:r w:rsidR="00680C40">
        <w:rPr>
          <w:sz w:val="22"/>
          <w:szCs w:val="22"/>
          <w:lang w:val="en-GB"/>
        </w:rPr>
        <w:t>.</w:t>
      </w:r>
    </w:p>
    <w:p w14:paraId="5AAA01BE" w14:textId="77777777" w:rsidR="003B6DC3" w:rsidRPr="00F0716B" w:rsidRDefault="00C00684" w:rsidP="00C70CCD">
      <w:pPr>
        <w:ind w:firstLine="284"/>
        <w:jc w:val="both"/>
        <w:rPr>
          <w:sz w:val="22"/>
          <w:szCs w:val="22"/>
          <w:lang w:val="en-GB"/>
        </w:rPr>
      </w:pPr>
      <w:r w:rsidRPr="00F0716B">
        <w:rPr>
          <w:sz w:val="22"/>
          <w:szCs w:val="22"/>
          <w:lang w:val="en-GB"/>
        </w:rPr>
        <w:t xml:space="preserve">The occurrence of the </w:t>
      </w:r>
      <w:r w:rsidR="00680C40">
        <w:rPr>
          <w:sz w:val="22"/>
          <w:szCs w:val="22"/>
          <w:lang w:val="en-GB"/>
        </w:rPr>
        <w:t>symptoms mentioned above</w:t>
      </w:r>
      <w:r w:rsidRPr="00F0716B">
        <w:rPr>
          <w:sz w:val="22"/>
          <w:szCs w:val="22"/>
          <w:lang w:val="en-GB"/>
        </w:rPr>
        <w:t xml:space="preserve"> is undoubtedly unfavourable. However, dizziness, eye pain, nausea and nasal mucosa could also influence the concentration of the students during the classes and</w:t>
      </w:r>
      <w:r w:rsidR="00AA04B8" w:rsidRPr="00F0716B">
        <w:rPr>
          <w:sz w:val="22"/>
          <w:szCs w:val="22"/>
          <w:lang w:val="en-GB"/>
        </w:rPr>
        <w:t>, consequently,</w:t>
      </w:r>
      <w:r w:rsidRPr="00F0716B">
        <w:rPr>
          <w:sz w:val="22"/>
          <w:szCs w:val="22"/>
          <w:lang w:val="en-GB"/>
        </w:rPr>
        <w:t xml:space="preserve"> their learning performance.</w:t>
      </w:r>
      <w:r w:rsidR="009657DE" w:rsidRPr="00F0716B">
        <w:rPr>
          <w:sz w:val="22"/>
          <w:szCs w:val="22"/>
          <w:lang w:val="en-GB"/>
        </w:rPr>
        <w:t xml:space="preserve"> </w:t>
      </w:r>
      <w:r w:rsidR="00680C40">
        <w:rPr>
          <w:sz w:val="22"/>
          <w:szCs w:val="22"/>
          <w:lang w:val="en-GB"/>
        </w:rPr>
        <w:t>R</w:t>
      </w:r>
      <w:r w:rsidR="009657DE" w:rsidRPr="00F0716B">
        <w:rPr>
          <w:sz w:val="22"/>
          <w:szCs w:val="22"/>
          <w:lang w:val="en-GB"/>
        </w:rPr>
        <w:t>elations between the rating of each symptom and the self</w:t>
      </w:r>
      <w:r w:rsidR="00680C40">
        <w:rPr>
          <w:sz w:val="22"/>
          <w:szCs w:val="22"/>
          <w:lang w:val="en-GB"/>
        </w:rPr>
        <w:t>-</w:t>
      </w:r>
      <w:r w:rsidR="009657DE" w:rsidRPr="00F0716B">
        <w:rPr>
          <w:sz w:val="22"/>
          <w:szCs w:val="22"/>
          <w:lang w:val="en-GB"/>
        </w:rPr>
        <w:t>reported concentration have been analysed</w:t>
      </w:r>
      <w:r w:rsidR="00680C40" w:rsidRPr="00680C40">
        <w:rPr>
          <w:sz w:val="22"/>
          <w:szCs w:val="22"/>
          <w:lang w:val="en-GB"/>
        </w:rPr>
        <w:t xml:space="preserve"> </w:t>
      </w:r>
      <w:r w:rsidR="00680C40">
        <w:rPr>
          <w:sz w:val="22"/>
          <w:szCs w:val="22"/>
          <w:lang w:val="en-GB"/>
        </w:rPr>
        <w:t>t</w:t>
      </w:r>
      <w:r w:rsidR="00680C40" w:rsidRPr="00F0716B">
        <w:rPr>
          <w:sz w:val="22"/>
          <w:szCs w:val="22"/>
          <w:lang w:val="en-GB"/>
        </w:rPr>
        <w:t>o verify this thesis</w:t>
      </w:r>
      <w:r w:rsidR="00AA04B8" w:rsidRPr="00F0716B">
        <w:rPr>
          <w:sz w:val="22"/>
          <w:szCs w:val="22"/>
          <w:lang w:val="en-GB"/>
        </w:rPr>
        <w:t>.</w:t>
      </w:r>
      <w:r w:rsidR="009657DE" w:rsidRPr="00F0716B">
        <w:rPr>
          <w:sz w:val="22"/>
          <w:szCs w:val="22"/>
          <w:lang w:val="en-GB"/>
        </w:rPr>
        <w:t xml:space="preserve"> The students were asked if they experienced any concentration issues and answered </w:t>
      </w:r>
      <w:r w:rsidR="00A46C66" w:rsidRPr="00F0716B">
        <w:rPr>
          <w:sz w:val="22"/>
          <w:szCs w:val="22"/>
          <w:lang w:val="en-GB"/>
        </w:rPr>
        <w:t>that they either:</w:t>
      </w:r>
      <w:r w:rsidR="00895542" w:rsidRPr="00F0716B">
        <w:rPr>
          <w:sz w:val="22"/>
          <w:szCs w:val="22"/>
          <w:lang w:val="en-GB"/>
        </w:rPr>
        <w:t xml:space="preserve"> definitely had such problems (+2), rather yes (+1), </w:t>
      </w:r>
      <w:r w:rsidR="00895542" w:rsidRPr="00F0716B">
        <w:rPr>
          <w:sz w:val="22"/>
          <w:szCs w:val="22"/>
          <w:lang w:val="en-GB"/>
        </w:rPr>
        <w:lastRenderedPageBreak/>
        <w:t xml:space="preserve">rather not (-1) or definitely not (-2). </w:t>
      </w:r>
      <w:r w:rsidR="00521674" w:rsidRPr="00F0716B">
        <w:rPr>
          <w:sz w:val="22"/>
          <w:szCs w:val="22"/>
          <w:lang w:val="en-GB"/>
        </w:rPr>
        <w:t xml:space="preserve">Figure 6 shows the obtained data for </w:t>
      </w:r>
      <w:r w:rsidR="00895542" w:rsidRPr="00F0716B">
        <w:rPr>
          <w:sz w:val="22"/>
          <w:szCs w:val="22"/>
          <w:lang w:val="en-GB"/>
        </w:rPr>
        <w:t>4 x 6</w:t>
      </w:r>
      <w:r w:rsidR="00C70CCD" w:rsidRPr="00F0716B">
        <w:rPr>
          <w:sz w:val="22"/>
          <w:szCs w:val="22"/>
          <w:lang w:val="en-GB"/>
        </w:rPr>
        <w:t>9</w:t>
      </w:r>
      <w:r w:rsidR="00895542" w:rsidRPr="00F0716B">
        <w:rPr>
          <w:sz w:val="22"/>
          <w:szCs w:val="22"/>
          <w:lang w:val="en-GB"/>
        </w:rPr>
        <w:t xml:space="preserve"> data points (overlapping each other) </w:t>
      </w:r>
      <w:r w:rsidR="00680C40">
        <w:rPr>
          <w:sz w:val="22"/>
          <w:szCs w:val="22"/>
          <w:lang w:val="en-GB"/>
        </w:rPr>
        <w:t>and</w:t>
      </w:r>
      <w:r w:rsidR="00521674" w:rsidRPr="00F0716B">
        <w:rPr>
          <w:sz w:val="22"/>
          <w:szCs w:val="22"/>
          <w:lang w:val="en-GB"/>
        </w:rPr>
        <w:t xml:space="preserve"> the linear fitting</w:t>
      </w:r>
      <w:r w:rsidR="00895542" w:rsidRPr="00F0716B">
        <w:rPr>
          <w:sz w:val="22"/>
          <w:szCs w:val="22"/>
          <w:lang w:val="en-GB"/>
        </w:rPr>
        <w:t>s</w:t>
      </w:r>
      <w:r w:rsidR="00521674" w:rsidRPr="00F0716B">
        <w:rPr>
          <w:sz w:val="22"/>
          <w:szCs w:val="22"/>
          <w:lang w:val="en-GB"/>
        </w:rPr>
        <w:t xml:space="preserve"> of the generated data points for each considered symptom</w:t>
      </w:r>
      <w:r w:rsidR="004E5533" w:rsidRPr="00F0716B">
        <w:rPr>
          <w:sz w:val="22"/>
          <w:szCs w:val="22"/>
          <w:lang w:val="en-GB"/>
        </w:rPr>
        <w:t>.</w:t>
      </w:r>
    </w:p>
    <w:p w14:paraId="4711C2BF" w14:textId="77777777" w:rsidR="00FB6587" w:rsidRPr="00F0716B" w:rsidRDefault="00FB6587" w:rsidP="000956C5">
      <w:pPr>
        <w:pStyle w:val="Paragraph"/>
        <w:rPr>
          <w:lang w:val="en-GB"/>
        </w:rPr>
      </w:pPr>
    </w:p>
    <w:p w14:paraId="0F68E25F" w14:textId="3B5B27E1" w:rsidR="00683DB9" w:rsidRPr="00F0716B" w:rsidRDefault="00CD5251" w:rsidP="00683DB9">
      <w:pPr>
        <w:pStyle w:val="Paragraph"/>
        <w:ind w:firstLine="0"/>
        <w:jc w:val="center"/>
        <w:rPr>
          <w:lang w:val="en-GB"/>
        </w:rPr>
      </w:pPr>
      <w:r>
        <w:pict w14:anchorId="3F779A90">
          <v:shape id="_x0000_i1035" type="#_x0000_t75" style="width:362.5pt;height:180pt">
            <v:imagedata r:id="rId13" o:title="Krawczyk et al - Fig 6" croptop="3884f" cropbottom="3107f" cropleft="2036f" cropright="2036f"/>
          </v:shape>
        </w:pict>
      </w:r>
    </w:p>
    <w:p w14:paraId="45C106D7" w14:textId="77777777" w:rsidR="004E5533" w:rsidRPr="00F0716B" w:rsidRDefault="00794840" w:rsidP="004A7A69">
      <w:pPr>
        <w:pStyle w:val="Rrys"/>
        <w:rPr>
          <w:lang w:val="en-GB"/>
        </w:rPr>
      </w:pPr>
      <w:r w:rsidRPr="00F0716B">
        <w:rPr>
          <w:b/>
          <w:bCs/>
          <w:lang w:val="en-GB"/>
        </w:rPr>
        <w:t xml:space="preserve">Fig. </w:t>
      </w:r>
      <w:r w:rsidR="0092189A" w:rsidRPr="00F0716B">
        <w:rPr>
          <w:b/>
          <w:bCs/>
          <w:lang w:val="en-GB"/>
        </w:rPr>
        <w:t>6</w:t>
      </w:r>
      <w:r w:rsidRPr="00F0716B">
        <w:rPr>
          <w:b/>
          <w:bCs/>
          <w:lang w:val="en-GB"/>
        </w:rPr>
        <w:t>.</w:t>
      </w:r>
      <w:r w:rsidRPr="00F0716B">
        <w:rPr>
          <w:lang w:val="en-GB"/>
        </w:rPr>
        <w:t xml:space="preserve"> </w:t>
      </w:r>
      <w:r w:rsidR="005A2EA7" w:rsidRPr="00F0716B">
        <w:rPr>
          <w:lang w:val="en-GB"/>
        </w:rPr>
        <w:t>Ailment responses</w:t>
      </w:r>
      <w:r w:rsidR="00895542" w:rsidRPr="00F0716B">
        <w:rPr>
          <w:lang w:val="en-GB"/>
        </w:rPr>
        <w:t xml:space="preserve"> vs. concentration problems</w:t>
      </w:r>
    </w:p>
    <w:p w14:paraId="19304604" w14:textId="77777777" w:rsidR="004A7A69" w:rsidRPr="00F0716B" w:rsidRDefault="004A7A69" w:rsidP="008D3048">
      <w:pPr>
        <w:ind w:firstLine="284"/>
        <w:jc w:val="both"/>
        <w:rPr>
          <w:sz w:val="22"/>
          <w:szCs w:val="22"/>
          <w:lang w:val="en-GB"/>
        </w:rPr>
      </w:pPr>
    </w:p>
    <w:p w14:paraId="6BFACE1C" w14:textId="77777777" w:rsidR="00877622" w:rsidRPr="00F0716B" w:rsidRDefault="007851A1" w:rsidP="008D3048">
      <w:pPr>
        <w:ind w:firstLine="284"/>
        <w:jc w:val="both"/>
        <w:rPr>
          <w:sz w:val="22"/>
          <w:szCs w:val="22"/>
          <w:lang w:val="en-GB"/>
        </w:rPr>
      </w:pPr>
      <w:r w:rsidRPr="00F0716B">
        <w:rPr>
          <w:sz w:val="22"/>
          <w:szCs w:val="22"/>
          <w:lang w:val="en-GB"/>
        </w:rPr>
        <w:t>There seem</w:t>
      </w:r>
      <w:r w:rsidR="00680C40">
        <w:rPr>
          <w:sz w:val="22"/>
          <w:szCs w:val="22"/>
          <w:lang w:val="en-GB"/>
        </w:rPr>
        <w:t>s</w:t>
      </w:r>
      <w:r w:rsidRPr="00F0716B">
        <w:rPr>
          <w:sz w:val="22"/>
          <w:szCs w:val="22"/>
          <w:lang w:val="en-GB"/>
        </w:rPr>
        <w:t xml:space="preserve"> to be a clear dependence between the occurrence of the sick building syndrome symptoms and concentration problems reported by the respondents. The graph shows that generally</w:t>
      </w:r>
      <w:r w:rsidR="00680C40">
        <w:rPr>
          <w:sz w:val="22"/>
          <w:szCs w:val="22"/>
          <w:lang w:val="en-GB"/>
        </w:rPr>
        <w:t>,</w:t>
      </w:r>
      <w:r w:rsidRPr="00F0716B">
        <w:rPr>
          <w:sz w:val="22"/>
          <w:szCs w:val="22"/>
          <w:lang w:val="en-GB"/>
        </w:rPr>
        <w:t xml:space="preserve"> people who marked a certain ailment response –</w:t>
      </w:r>
      <w:r w:rsidR="00876BB2" w:rsidRPr="00F0716B">
        <w:rPr>
          <w:sz w:val="22"/>
          <w:szCs w:val="22"/>
          <w:lang w:val="en-GB"/>
        </w:rPr>
        <w:t xml:space="preserve"> namely,</w:t>
      </w:r>
      <w:r w:rsidRPr="00F0716B">
        <w:rPr>
          <w:sz w:val="22"/>
          <w:szCs w:val="22"/>
          <w:lang w:val="en-GB"/>
        </w:rPr>
        <w:t xml:space="preserve"> that they definitely experienced it: (+2) on the x-axis, they also had concentration problems (and marked (+2), which appears on the y-axis). Similarly, if they were fine and had no health problems in the analysed room and marked (-2) for the ailment o</w:t>
      </w:r>
      <w:r w:rsidR="00876BB2" w:rsidRPr="00F0716B">
        <w:rPr>
          <w:sz w:val="22"/>
          <w:szCs w:val="22"/>
          <w:lang w:val="en-GB"/>
        </w:rPr>
        <w:t>ccurrence, they did not have any</w:t>
      </w:r>
      <w:r w:rsidRPr="00F0716B">
        <w:rPr>
          <w:sz w:val="22"/>
          <w:szCs w:val="22"/>
          <w:lang w:val="en-GB"/>
        </w:rPr>
        <w:t xml:space="preserve"> </w:t>
      </w:r>
      <w:r w:rsidR="00680C40">
        <w:rPr>
          <w:sz w:val="22"/>
          <w:szCs w:val="22"/>
          <w:lang w:val="en-GB"/>
        </w:rPr>
        <w:t>concentration issues</w:t>
      </w:r>
      <w:r w:rsidRPr="00F0716B">
        <w:rPr>
          <w:sz w:val="22"/>
          <w:szCs w:val="22"/>
          <w:lang w:val="en-GB"/>
        </w:rPr>
        <w:t xml:space="preserve"> and marked (-2) or (-1). The linear fitting lines for all t</w:t>
      </w:r>
      <w:r w:rsidR="00C96B56" w:rsidRPr="00F0716B">
        <w:rPr>
          <w:sz w:val="22"/>
          <w:szCs w:val="22"/>
          <w:lang w:val="en-GB"/>
        </w:rPr>
        <w:t>he ailments show the same upward trend</w:t>
      </w:r>
      <w:r w:rsidR="00680C40">
        <w:rPr>
          <w:sz w:val="22"/>
          <w:szCs w:val="22"/>
          <w:lang w:val="en-GB"/>
        </w:rPr>
        <w:t>;</w:t>
      </w:r>
      <w:r w:rsidR="00C96B56" w:rsidRPr="00F0716B">
        <w:rPr>
          <w:sz w:val="22"/>
          <w:szCs w:val="22"/>
          <w:lang w:val="en-GB"/>
        </w:rPr>
        <w:t xml:space="preserve"> however</w:t>
      </w:r>
      <w:r w:rsidR="00680C40">
        <w:rPr>
          <w:sz w:val="22"/>
          <w:szCs w:val="22"/>
          <w:lang w:val="en-GB"/>
        </w:rPr>
        <w:t>,</w:t>
      </w:r>
      <w:r w:rsidR="00C96B56" w:rsidRPr="00F0716B">
        <w:rPr>
          <w:sz w:val="22"/>
          <w:szCs w:val="22"/>
          <w:lang w:val="en-GB"/>
        </w:rPr>
        <w:t xml:space="preserve"> the relation between nasal mucosa and concentration problems is weaker th</w:t>
      </w:r>
      <w:r w:rsidR="00680C40">
        <w:rPr>
          <w:sz w:val="22"/>
          <w:szCs w:val="22"/>
          <w:lang w:val="en-GB"/>
        </w:rPr>
        <w:t>a</w:t>
      </w:r>
      <w:r w:rsidR="00C96B56" w:rsidRPr="00F0716B">
        <w:rPr>
          <w:sz w:val="22"/>
          <w:szCs w:val="22"/>
          <w:lang w:val="en-GB"/>
        </w:rPr>
        <w:t xml:space="preserve">n in the case of the remaining three SBS symptoms. It is </w:t>
      </w:r>
      <w:r w:rsidR="00680C40">
        <w:rPr>
          <w:sz w:val="22"/>
          <w:szCs w:val="22"/>
          <w:lang w:val="en-GB"/>
        </w:rPr>
        <w:t>evident</w:t>
      </w:r>
      <w:r w:rsidR="00C96B56" w:rsidRPr="00F0716B">
        <w:rPr>
          <w:sz w:val="22"/>
          <w:szCs w:val="22"/>
          <w:lang w:val="en-GB"/>
        </w:rPr>
        <w:t xml:space="preserve"> t</w:t>
      </w:r>
      <w:r w:rsidR="00680C40">
        <w:rPr>
          <w:sz w:val="22"/>
          <w:szCs w:val="22"/>
          <w:lang w:val="en-GB"/>
        </w:rPr>
        <w:t>hat the relationship</w:t>
      </w:r>
      <w:r w:rsidR="00C96B56" w:rsidRPr="00F0716B">
        <w:rPr>
          <w:sz w:val="22"/>
          <w:szCs w:val="22"/>
          <w:lang w:val="en-GB"/>
        </w:rPr>
        <w:t xml:space="preserve"> between concentration and dizziness, eye pain and nausea is almost the same for such a large number of people in the room.</w:t>
      </w:r>
      <w:r w:rsidR="008D3048" w:rsidRPr="00F0716B">
        <w:rPr>
          <w:sz w:val="22"/>
          <w:szCs w:val="22"/>
          <w:lang w:val="en-GB"/>
        </w:rPr>
        <w:t xml:space="preserve"> The linear fit equations related to the impact of dizziness (DI), eye pain (EP), nausea (NA) and nasal mucosa (NM) on concentration problems (CS) take the following forms:</w:t>
      </w:r>
    </w:p>
    <w:p w14:paraId="0FC1ED07" w14:textId="77777777" w:rsidR="008D3048" w:rsidRPr="00F0716B" w:rsidRDefault="008D3048" w:rsidP="0079297D">
      <w:pPr>
        <w:tabs>
          <w:tab w:val="right" w:pos="9639"/>
        </w:tabs>
        <w:spacing w:before="120"/>
        <w:ind w:firstLine="3260"/>
        <w:jc w:val="right"/>
        <w:rPr>
          <w:sz w:val="22"/>
          <w:szCs w:val="22"/>
          <w:lang w:val="en-GB"/>
        </w:rPr>
      </w:pPr>
      <w:r w:rsidRPr="00F0716B">
        <w:rPr>
          <w:sz w:val="22"/>
          <w:szCs w:val="22"/>
          <w:lang w:val="en-GB"/>
        </w:rPr>
        <w:t>CP = 0.6536DI – 0.1808;  R</w:t>
      </w:r>
      <w:r w:rsidRPr="00F0716B">
        <w:rPr>
          <w:sz w:val="22"/>
          <w:szCs w:val="22"/>
          <w:vertAlign w:val="superscript"/>
          <w:lang w:val="en-GB"/>
        </w:rPr>
        <w:t>2</w:t>
      </w:r>
      <w:r w:rsidRPr="00F0716B">
        <w:rPr>
          <w:sz w:val="22"/>
          <w:szCs w:val="22"/>
          <w:lang w:val="en-GB"/>
        </w:rPr>
        <w:t xml:space="preserve"> = 0.32 </w:t>
      </w:r>
      <w:r w:rsidRPr="00F0716B">
        <w:rPr>
          <w:sz w:val="22"/>
          <w:szCs w:val="22"/>
          <w:lang w:val="en-GB"/>
        </w:rPr>
        <w:tab/>
        <w:t>(1)</w:t>
      </w:r>
    </w:p>
    <w:p w14:paraId="1DAEEBE7" w14:textId="77777777" w:rsidR="008D3048" w:rsidRPr="00F0716B" w:rsidRDefault="008D3048" w:rsidP="0079297D">
      <w:pPr>
        <w:tabs>
          <w:tab w:val="right" w:pos="9639"/>
        </w:tabs>
        <w:ind w:firstLine="3261"/>
        <w:jc w:val="right"/>
        <w:rPr>
          <w:sz w:val="22"/>
          <w:szCs w:val="22"/>
          <w:lang w:val="en-GB"/>
        </w:rPr>
      </w:pPr>
      <w:r w:rsidRPr="00F0716B">
        <w:rPr>
          <w:sz w:val="22"/>
          <w:szCs w:val="22"/>
          <w:lang w:val="en-GB"/>
        </w:rPr>
        <w:t>CP = 0.5517EP – 0.3279;  R</w:t>
      </w:r>
      <w:r w:rsidRPr="00F0716B">
        <w:rPr>
          <w:sz w:val="22"/>
          <w:szCs w:val="22"/>
          <w:vertAlign w:val="superscript"/>
          <w:lang w:val="en-GB"/>
        </w:rPr>
        <w:t>2</w:t>
      </w:r>
      <w:r w:rsidRPr="00F0716B">
        <w:rPr>
          <w:sz w:val="22"/>
          <w:szCs w:val="22"/>
          <w:lang w:val="en-GB"/>
        </w:rPr>
        <w:t xml:space="preserve"> = 0.23 </w:t>
      </w:r>
      <w:r w:rsidRPr="00F0716B">
        <w:rPr>
          <w:sz w:val="22"/>
          <w:szCs w:val="22"/>
          <w:lang w:val="en-GB"/>
        </w:rPr>
        <w:tab/>
        <w:t>(2)</w:t>
      </w:r>
    </w:p>
    <w:p w14:paraId="5A9CC5E6" w14:textId="77777777" w:rsidR="008D3048" w:rsidRPr="00F0716B" w:rsidRDefault="008D3048" w:rsidP="0079297D">
      <w:pPr>
        <w:tabs>
          <w:tab w:val="right" w:pos="9639"/>
        </w:tabs>
        <w:ind w:firstLine="3261"/>
        <w:jc w:val="right"/>
        <w:rPr>
          <w:sz w:val="22"/>
          <w:szCs w:val="22"/>
          <w:lang w:val="en-GB"/>
        </w:rPr>
      </w:pPr>
      <w:r w:rsidRPr="00F0716B">
        <w:rPr>
          <w:sz w:val="22"/>
          <w:szCs w:val="22"/>
          <w:lang w:val="en-GB"/>
        </w:rPr>
        <w:t>CP = 0.6761NA + 0.0352;  R</w:t>
      </w:r>
      <w:r w:rsidRPr="00F0716B">
        <w:rPr>
          <w:sz w:val="22"/>
          <w:szCs w:val="22"/>
          <w:vertAlign w:val="superscript"/>
          <w:lang w:val="en-GB"/>
        </w:rPr>
        <w:t>2</w:t>
      </w:r>
      <w:r w:rsidRPr="00F0716B">
        <w:rPr>
          <w:sz w:val="22"/>
          <w:szCs w:val="22"/>
          <w:lang w:val="en-GB"/>
        </w:rPr>
        <w:t xml:space="preserve"> = 0.19 </w:t>
      </w:r>
      <w:r w:rsidRPr="00F0716B">
        <w:rPr>
          <w:sz w:val="22"/>
          <w:szCs w:val="22"/>
          <w:lang w:val="en-GB"/>
        </w:rPr>
        <w:tab/>
        <w:t>(3)</w:t>
      </w:r>
    </w:p>
    <w:p w14:paraId="4B60DF3F" w14:textId="77777777" w:rsidR="008D3048" w:rsidRPr="00F0716B" w:rsidRDefault="008D3048" w:rsidP="0079297D">
      <w:pPr>
        <w:tabs>
          <w:tab w:val="right" w:pos="9639"/>
        </w:tabs>
        <w:spacing w:after="120"/>
        <w:ind w:firstLine="3260"/>
        <w:jc w:val="right"/>
        <w:rPr>
          <w:sz w:val="22"/>
          <w:szCs w:val="22"/>
          <w:lang w:val="en-GB"/>
        </w:rPr>
      </w:pPr>
      <w:r w:rsidRPr="00F0716B">
        <w:rPr>
          <w:sz w:val="22"/>
          <w:szCs w:val="22"/>
          <w:lang w:val="en-GB"/>
        </w:rPr>
        <w:t>CP = 0.2845NM – 0.6652;  R</w:t>
      </w:r>
      <w:r w:rsidRPr="00F0716B">
        <w:rPr>
          <w:sz w:val="22"/>
          <w:szCs w:val="22"/>
          <w:vertAlign w:val="superscript"/>
          <w:lang w:val="en-GB"/>
        </w:rPr>
        <w:t>2</w:t>
      </w:r>
      <w:r w:rsidRPr="00F0716B">
        <w:rPr>
          <w:sz w:val="22"/>
          <w:szCs w:val="22"/>
          <w:lang w:val="en-GB"/>
        </w:rPr>
        <w:t xml:space="preserve"> = 0.07 </w:t>
      </w:r>
      <w:r w:rsidRPr="00F0716B">
        <w:rPr>
          <w:sz w:val="22"/>
          <w:szCs w:val="22"/>
          <w:lang w:val="en-GB"/>
        </w:rPr>
        <w:tab/>
        <w:t>(4)</w:t>
      </w:r>
    </w:p>
    <w:p w14:paraId="5E6153CB" w14:textId="77777777" w:rsidR="00665952" w:rsidRPr="00F0716B" w:rsidRDefault="00877622" w:rsidP="00542157">
      <w:pPr>
        <w:ind w:firstLine="284"/>
        <w:jc w:val="both"/>
        <w:rPr>
          <w:sz w:val="22"/>
          <w:szCs w:val="22"/>
          <w:lang w:val="en-GB"/>
        </w:rPr>
      </w:pPr>
      <w:r w:rsidRPr="00F0716B">
        <w:rPr>
          <w:sz w:val="22"/>
          <w:szCs w:val="22"/>
          <w:lang w:val="en-GB"/>
        </w:rPr>
        <w:t>The ailments and concentration problems can be related to the indoor environment in the room, especially thermal and humidity parameters a</w:t>
      </w:r>
      <w:r w:rsidR="00680C40">
        <w:rPr>
          <w:sz w:val="22"/>
          <w:szCs w:val="22"/>
          <w:lang w:val="en-GB"/>
        </w:rPr>
        <w:t>nd</w:t>
      </w:r>
      <w:r w:rsidRPr="00F0716B">
        <w:rPr>
          <w:sz w:val="22"/>
          <w:szCs w:val="22"/>
          <w:lang w:val="en-GB"/>
        </w:rPr>
        <w:t xml:space="preserve"> air quality. The best measure of indoor air quality is the level of carbon dioxide, which has been determined in the study. Its value ranged from 937 ppm at the beginning of the lecture to 1223 ppm at the end and could be considered quite high</w:t>
      </w:r>
      <w:r w:rsidR="00680C40">
        <w:rPr>
          <w:sz w:val="22"/>
          <w:szCs w:val="22"/>
          <w:lang w:val="en-GB"/>
        </w:rPr>
        <w:t>;</w:t>
      </w:r>
      <w:r w:rsidRPr="00F0716B">
        <w:rPr>
          <w:sz w:val="22"/>
          <w:szCs w:val="22"/>
          <w:lang w:val="en-GB"/>
        </w:rPr>
        <w:t xml:space="preserve"> however</w:t>
      </w:r>
      <w:r w:rsidR="00680C40">
        <w:rPr>
          <w:sz w:val="22"/>
          <w:szCs w:val="22"/>
          <w:lang w:val="en-GB"/>
        </w:rPr>
        <w:t>,</w:t>
      </w:r>
      <w:r w:rsidRPr="00F0716B">
        <w:rPr>
          <w:sz w:val="22"/>
          <w:szCs w:val="22"/>
          <w:lang w:val="en-GB"/>
        </w:rPr>
        <w:t xml:space="preserve"> </w:t>
      </w:r>
      <w:r w:rsidR="00680C40">
        <w:rPr>
          <w:sz w:val="22"/>
          <w:szCs w:val="22"/>
          <w:lang w:val="en-GB"/>
        </w:rPr>
        <w:t>the authors recorded higher concentrations at educational building</w:t>
      </w:r>
      <w:r w:rsidR="00876BB2" w:rsidRPr="00F0716B">
        <w:rPr>
          <w:sz w:val="22"/>
          <w:szCs w:val="22"/>
          <w:lang w:val="en-GB"/>
        </w:rPr>
        <w:t>s</w:t>
      </w:r>
      <w:r w:rsidRPr="00F0716B">
        <w:rPr>
          <w:sz w:val="22"/>
          <w:szCs w:val="22"/>
          <w:lang w:val="en-GB"/>
        </w:rPr>
        <w:t xml:space="preserve">. The questionnaire contained two questions regarding the subjective assessment of indoor air. The students were asked to assess the </w:t>
      </w:r>
      <w:r w:rsidR="00680C40">
        <w:rPr>
          <w:sz w:val="22"/>
          <w:szCs w:val="22"/>
          <w:lang w:val="en-GB"/>
        </w:rPr>
        <w:t>air's quality and the smell's presence</w:t>
      </w:r>
      <w:r w:rsidRPr="00F0716B">
        <w:rPr>
          <w:sz w:val="22"/>
          <w:szCs w:val="22"/>
          <w:lang w:val="en-GB"/>
        </w:rPr>
        <w:t xml:space="preserve">. The results have shown that </w:t>
      </w:r>
      <w:r w:rsidR="00A726D9" w:rsidRPr="00F0716B">
        <w:rPr>
          <w:sz w:val="22"/>
          <w:szCs w:val="22"/>
          <w:lang w:val="en-GB"/>
        </w:rPr>
        <w:t xml:space="preserve">7.2% considered the air as </w:t>
      </w:r>
      <w:r w:rsidR="00680C40">
        <w:rPr>
          <w:sz w:val="22"/>
          <w:szCs w:val="22"/>
          <w:lang w:val="en-GB"/>
        </w:rPr>
        <w:t>"</w:t>
      </w:r>
      <w:r w:rsidR="00A726D9" w:rsidRPr="00F0716B">
        <w:rPr>
          <w:sz w:val="22"/>
          <w:szCs w:val="22"/>
          <w:lang w:val="en-GB"/>
        </w:rPr>
        <w:t>very fresh</w:t>
      </w:r>
      <w:r w:rsidR="00680C40">
        <w:rPr>
          <w:sz w:val="22"/>
          <w:szCs w:val="22"/>
          <w:lang w:val="en-GB"/>
        </w:rPr>
        <w:t>"</w:t>
      </w:r>
      <w:r w:rsidR="00A726D9" w:rsidRPr="00F0716B">
        <w:rPr>
          <w:sz w:val="22"/>
          <w:szCs w:val="22"/>
          <w:lang w:val="en-GB"/>
        </w:rPr>
        <w:t xml:space="preserve"> and 82.7% as </w:t>
      </w:r>
      <w:r w:rsidR="00680C40">
        <w:rPr>
          <w:sz w:val="22"/>
          <w:szCs w:val="22"/>
          <w:lang w:val="en-GB"/>
        </w:rPr>
        <w:t>"</w:t>
      </w:r>
      <w:r w:rsidR="00A726D9" w:rsidRPr="00F0716B">
        <w:rPr>
          <w:sz w:val="22"/>
          <w:szCs w:val="22"/>
          <w:lang w:val="en-GB"/>
        </w:rPr>
        <w:t>quite fresh</w:t>
      </w:r>
      <w:r w:rsidR="00680C40">
        <w:rPr>
          <w:sz w:val="22"/>
          <w:szCs w:val="22"/>
          <w:lang w:val="en-GB"/>
        </w:rPr>
        <w:t>"</w:t>
      </w:r>
      <w:r w:rsidR="00A726D9" w:rsidRPr="00F0716B">
        <w:rPr>
          <w:sz w:val="22"/>
          <w:szCs w:val="22"/>
          <w:lang w:val="en-GB"/>
        </w:rPr>
        <w:t xml:space="preserve">, while the rest (10.1%) called it </w:t>
      </w:r>
      <w:r w:rsidR="00680C40">
        <w:rPr>
          <w:sz w:val="22"/>
          <w:szCs w:val="22"/>
          <w:lang w:val="en-GB"/>
        </w:rPr>
        <w:t>"</w:t>
      </w:r>
      <w:r w:rsidR="00A726D9" w:rsidRPr="00F0716B">
        <w:rPr>
          <w:sz w:val="22"/>
          <w:szCs w:val="22"/>
          <w:lang w:val="en-GB"/>
        </w:rPr>
        <w:t>not fresh</w:t>
      </w:r>
      <w:r w:rsidR="00680C40">
        <w:rPr>
          <w:sz w:val="22"/>
          <w:szCs w:val="22"/>
          <w:lang w:val="en-GB"/>
        </w:rPr>
        <w:t>"</w:t>
      </w:r>
      <w:r w:rsidR="00A726D9" w:rsidRPr="00F0716B">
        <w:rPr>
          <w:sz w:val="22"/>
          <w:szCs w:val="22"/>
          <w:lang w:val="en-GB"/>
        </w:rPr>
        <w:t>. It indicates that quite a large number of people w</w:t>
      </w:r>
      <w:r w:rsidR="00680C40">
        <w:rPr>
          <w:sz w:val="22"/>
          <w:szCs w:val="22"/>
          <w:lang w:val="en-GB"/>
        </w:rPr>
        <w:t>ere</w:t>
      </w:r>
      <w:r w:rsidR="00A726D9" w:rsidRPr="00F0716B">
        <w:rPr>
          <w:sz w:val="22"/>
          <w:szCs w:val="22"/>
          <w:lang w:val="en-GB"/>
        </w:rPr>
        <w:t xml:space="preserve"> unsatisfied with the air quality. At the same time</w:t>
      </w:r>
      <w:r w:rsidR="00680C40">
        <w:rPr>
          <w:sz w:val="22"/>
          <w:szCs w:val="22"/>
          <w:lang w:val="en-GB"/>
        </w:rPr>
        <w:t>,</w:t>
      </w:r>
      <w:r w:rsidR="00A726D9" w:rsidRPr="00F0716B">
        <w:rPr>
          <w:sz w:val="22"/>
          <w:szCs w:val="22"/>
          <w:lang w:val="en-GB"/>
        </w:rPr>
        <w:t xml:space="preserve"> </w:t>
      </w:r>
      <w:r w:rsidR="0075132D" w:rsidRPr="00F0716B">
        <w:rPr>
          <w:sz w:val="22"/>
          <w:szCs w:val="22"/>
          <w:lang w:val="en-GB"/>
        </w:rPr>
        <w:t>24.6% of the students did not detect any smell</w:t>
      </w:r>
      <w:r w:rsidR="00542157" w:rsidRPr="00F0716B">
        <w:rPr>
          <w:sz w:val="22"/>
          <w:szCs w:val="22"/>
          <w:lang w:val="en-GB"/>
        </w:rPr>
        <w:t>, while 69.6% felt weak or moderate smell. Thus, it seems that the air in the room might not be</w:t>
      </w:r>
      <w:r w:rsidR="00665952" w:rsidRPr="00F0716B">
        <w:rPr>
          <w:sz w:val="22"/>
          <w:szCs w:val="22"/>
          <w:lang w:val="en-GB"/>
        </w:rPr>
        <w:t xml:space="preserve"> of high quality.</w:t>
      </w:r>
    </w:p>
    <w:p w14:paraId="56D87FC4" w14:textId="77777777" w:rsidR="00D0330C" w:rsidRPr="00F0716B" w:rsidRDefault="008336D2" w:rsidP="00876BB2">
      <w:pPr>
        <w:ind w:firstLine="284"/>
        <w:jc w:val="both"/>
        <w:rPr>
          <w:sz w:val="22"/>
          <w:szCs w:val="22"/>
          <w:lang w:val="en-GB"/>
        </w:rPr>
      </w:pPr>
      <w:r w:rsidRPr="00F0716B">
        <w:rPr>
          <w:sz w:val="22"/>
          <w:szCs w:val="22"/>
          <w:lang w:val="en-GB"/>
        </w:rPr>
        <w:t xml:space="preserve">The </w:t>
      </w:r>
      <w:r w:rsidR="00665952" w:rsidRPr="00F0716B">
        <w:rPr>
          <w:sz w:val="22"/>
          <w:szCs w:val="22"/>
          <w:lang w:val="en-GB"/>
        </w:rPr>
        <w:t>overall assessment of the indoor environment has also been conducted in the present study.</w:t>
      </w:r>
      <w:r w:rsidRPr="00F0716B">
        <w:rPr>
          <w:sz w:val="22"/>
          <w:szCs w:val="22"/>
          <w:lang w:val="en-GB"/>
        </w:rPr>
        <w:t xml:space="preserve"> The respondents w</w:t>
      </w:r>
      <w:r w:rsidR="00680C40">
        <w:rPr>
          <w:sz w:val="22"/>
          <w:szCs w:val="22"/>
          <w:lang w:val="en-GB"/>
        </w:rPr>
        <w:t>ere</w:t>
      </w:r>
      <w:r w:rsidRPr="00F0716B">
        <w:rPr>
          <w:sz w:val="22"/>
          <w:szCs w:val="22"/>
          <w:lang w:val="en-GB"/>
        </w:rPr>
        <w:t xml:space="preserve"> asked about how they generally felt</w:t>
      </w:r>
      <w:r w:rsidR="00665952" w:rsidRPr="00F0716B">
        <w:rPr>
          <w:sz w:val="22"/>
          <w:szCs w:val="22"/>
          <w:lang w:val="en-GB"/>
        </w:rPr>
        <w:t xml:space="preserve"> </w:t>
      </w:r>
      <w:r w:rsidRPr="00F0716B">
        <w:rPr>
          <w:sz w:val="22"/>
          <w:szCs w:val="22"/>
          <w:lang w:val="en-GB"/>
        </w:rPr>
        <w:t xml:space="preserve">in the room. </w:t>
      </w:r>
      <w:r w:rsidRPr="00C1031F">
        <w:rPr>
          <w:spacing w:val="-2"/>
          <w:sz w:val="22"/>
          <w:szCs w:val="22"/>
          <w:lang w:val="en-GB"/>
        </w:rPr>
        <w:t xml:space="preserve">They could choose from the following answers: </w:t>
      </w:r>
      <w:r w:rsidR="00680C40">
        <w:rPr>
          <w:spacing w:val="-2"/>
          <w:sz w:val="22"/>
          <w:szCs w:val="22"/>
          <w:lang w:val="en-GB"/>
        </w:rPr>
        <w:t>"</w:t>
      </w:r>
      <w:r w:rsidRPr="00C1031F">
        <w:rPr>
          <w:spacing w:val="-2"/>
          <w:sz w:val="22"/>
          <w:szCs w:val="22"/>
          <w:lang w:val="en-GB"/>
        </w:rPr>
        <w:t>very good</w:t>
      </w:r>
      <w:r w:rsidR="00680C40">
        <w:rPr>
          <w:spacing w:val="-2"/>
          <w:sz w:val="22"/>
          <w:szCs w:val="22"/>
          <w:lang w:val="en-GB"/>
        </w:rPr>
        <w:t>"</w:t>
      </w:r>
      <w:r w:rsidRPr="00C1031F">
        <w:rPr>
          <w:spacing w:val="-2"/>
          <w:sz w:val="22"/>
          <w:szCs w:val="22"/>
          <w:lang w:val="en-GB"/>
        </w:rPr>
        <w:t xml:space="preserve"> (+2), </w:t>
      </w:r>
      <w:r w:rsidR="00680C40">
        <w:rPr>
          <w:spacing w:val="-2"/>
          <w:sz w:val="22"/>
          <w:szCs w:val="22"/>
          <w:lang w:val="en-GB"/>
        </w:rPr>
        <w:t>"</w:t>
      </w:r>
      <w:r w:rsidRPr="00C1031F">
        <w:rPr>
          <w:spacing w:val="-2"/>
          <w:sz w:val="22"/>
          <w:szCs w:val="22"/>
          <w:lang w:val="en-GB"/>
        </w:rPr>
        <w:t>good</w:t>
      </w:r>
      <w:r w:rsidR="00680C40">
        <w:rPr>
          <w:spacing w:val="-2"/>
          <w:sz w:val="22"/>
          <w:szCs w:val="22"/>
          <w:lang w:val="en-GB"/>
        </w:rPr>
        <w:t>"</w:t>
      </w:r>
      <w:r w:rsidRPr="00C1031F">
        <w:rPr>
          <w:spacing w:val="-2"/>
          <w:sz w:val="22"/>
          <w:szCs w:val="22"/>
          <w:lang w:val="en-GB"/>
        </w:rPr>
        <w:t xml:space="preserve"> (+1), </w:t>
      </w:r>
      <w:r w:rsidR="00680C40">
        <w:rPr>
          <w:spacing w:val="-2"/>
          <w:sz w:val="22"/>
          <w:szCs w:val="22"/>
          <w:lang w:val="en-GB"/>
        </w:rPr>
        <w:t>"</w:t>
      </w:r>
      <w:r w:rsidRPr="00C1031F">
        <w:rPr>
          <w:spacing w:val="-2"/>
          <w:sz w:val="22"/>
          <w:szCs w:val="22"/>
          <w:lang w:val="en-GB"/>
        </w:rPr>
        <w:t>neutral</w:t>
      </w:r>
      <w:r w:rsidR="00680C40">
        <w:rPr>
          <w:spacing w:val="-2"/>
          <w:sz w:val="22"/>
          <w:szCs w:val="22"/>
          <w:lang w:val="en-GB"/>
        </w:rPr>
        <w:t>"</w:t>
      </w:r>
      <w:r w:rsidRPr="00C1031F">
        <w:rPr>
          <w:spacing w:val="-2"/>
          <w:sz w:val="22"/>
          <w:szCs w:val="22"/>
          <w:lang w:val="en-GB"/>
        </w:rPr>
        <w:t xml:space="preserve"> (0), </w:t>
      </w:r>
      <w:r w:rsidR="00680C40">
        <w:rPr>
          <w:spacing w:val="-2"/>
          <w:sz w:val="22"/>
          <w:szCs w:val="22"/>
          <w:lang w:val="en-GB"/>
        </w:rPr>
        <w:t>"</w:t>
      </w:r>
      <w:r w:rsidRPr="00C1031F">
        <w:rPr>
          <w:spacing w:val="-2"/>
          <w:sz w:val="22"/>
          <w:szCs w:val="22"/>
          <w:lang w:val="en-GB"/>
        </w:rPr>
        <w:t>bad</w:t>
      </w:r>
      <w:r w:rsidR="00680C40">
        <w:rPr>
          <w:spacing w:val="-2"/>
          <w:sz w:val="22"/>
          <w:szCs w:val="22"/>
          <w:lang w:val="en-GB"/>
        </w:rPr>
        <w:t>"</w:t>
      </w:r>
      <w:r w:rsidRPr="00C1031F">
        <w:rPr>
          <w:spacing w:val="-2"/>
          <w:sz w:val="22"/>
          <w:szCs w:val="22"/>
          <w:lang w:val="en-GB"/>
        </w:rPr>
        <w:t xml:space="preserve"> (-1) and </w:t>
      </w:r>
      <w:r w:rsidR="00680C40">
        <w:rPr>
          <w:spacing w:val="-2"/>
          <w:sz w:val="22"/>
          <w:szCs w:val="22"/>
          <w:lang w:val="en-GB"/>
        </w:rPr>
        <w:t>"</w:t>
      </w:r>
      <w:r w:rsidRPr="00C1031F">
        <w:rPr>
          <w:spacing w:val="-2"/>
          <w:sz w:val="22"/>
          <w:szCs w:val="22"/>
          <w:lang w:val="en-GB"/>
        </w:rPr>
        <w:t>very bad</w:t>
      </w:r>
      <w:r w:rsidR="00680C40">
        <w:rPr>
          <w:spacing w:val="-2"/>
          <w:sz w:val="22"/>
          <w:szCs w:val="22"/>
          <w:lang w:val="en-GB"/>
        </w:rPr>
        <w:t>"</w:t>
      </w:r>
      <w:r w:rsidRPr="00C1031F">
        <w:rPr>
          <w:spacing w:val="-2"/>
          <w:sz w:val="22"/>
          <w:szCs w:val="22"/>
          <w:lang w:val="en-GB"/>
        </w:rPr>
        <w:t xml:space="preserve"> (-2).</w:t>
      </w:r>
      <w:r w:rsidRPr="00F0716B">
        <w:rPr>
          <w:sz w:val="22"/>
          <w:szCs w:val="22"/>
          <w:lang w:val="en-GB"/>
        </w:rPr>
        <w:t xml:space="preserve"> The subjective assessment of well-being is vital. It has been analysed </w:t>
      </w:r>
      <w:r w:rsidR="00680C40">
        <w:rPr>
          <w:sz w:val="22"/>
          <w:szCs w:val="22"/>
          <w:lang w:val="en-GB"/>
        </w:rPr>
        <w:t>concerning</w:t>
      </w:r>
      <w:r w:rsidRPr="00F0716B">
        <w:rPr>
          <w:sz w:val="22"/>
          <w:szCs w:val="22"/>
          <w:lang w:val="en-GB"/>
        </w:rPr>
        <w:t xml:space="preserve"> </w:t>
      </w:r>
      <w:r w:rsidR="00680C40">
        <w:rPr>
          <w:sz w:val="22"/>
          <w:szCs w:val="22"/>
          <w:lang w:val="en-GB"/>
        </w:rPr>
        <w:t>each student's individual rating of the thermal environment, subjective air quality assessment and four ailments (dizziness, eye pain, nausea and nasal mucosa)</w:t>
      </w:r>
      <w:r w:rsidRPr="00F0716B">
        <w:rPr>
          <w:sz w:val="22"/>
          <w:szCs w:val="22"/>
          <w:lang w:val="en-GB"/>
        </w:rPr>
        <w:t xml:space="preserve">. </w:t>
      </w:r>
      <w:r w:rsidR="00F04AB1" w:rsidRPr="00F0716B">
        <w:rPr>
          <w:sz w:val="22"/>
          <w:szCs w:val="22"/>
          <w:lang w:val="en-GB"/>
        </w:rPr>
        <w:t xml:space="preserve">Figure </w:t>
      </w:r>
      <w:r w:rsidR="0092189A" w:rsidRPr="00F0716B">
        <w:rPr>
          <w:sz w:val="22"/>
          <w:szCs w:val="22"/>
          <w:lang w:val="en-GB"/>
        </w:rPr>
        <w:t>7</w:t>
      </w:r>
      <w:r w:rsidR="00F04AB1" w:rsidRPr="00F0716B">
        <w:rPr>
          <w:sz w:val="22"/>
          <w:szCs w:val="22"/>
          <w:lang w:val="en-GB"/>
        </w:rPr>
        <w:t xml:space="preserve"> presents the in</w:t>
      </w:r>
      <w:r w:rsidR="00876BB2" w:rsidRPr="00F0716B">
        <w:rPr>
          <w:sz w:val="22"/>
          <w:szCs w:val="22"/>
          <w:lang w:val="en-GB"/>
        </w:rPr>
        <w:t xml:space="preserve">fluence of these factors on </w:t>
      </w:r>
      <w:r w:rsidR="00F04AB1" w:rsidRPr="00F0716B">
        <w:rPr>
          <w:sz w:val="22"/>
          <w:szCs w:val="22"/>
          <w:lang w:val="en-GB"/>
        </w:rPr>
        <w:t>well-being. T</w:t>
      </w:r>
      <w:r w:rsidR="00680C40">
        <w:rPr>
          <w:sz w:val="22"/>
          <w:szCs w:val="22"/>
          <w:lang w:val="en-GB"/>
        </w:rPr>
        <w:t>he t</w:t>
      </w:r>
      <w:r w:rsidR="00F04AB1" w:rsidRPr="00F0716B">
        <w:rPr>
          <w:sz w:val="22"/>
          <w:szCs w:val="22"/>
          <w:lang w:val="en-GB"/>
        </w:rPr>
        <w:t xml:space="preserve">hermal environment has been considered as the subjective assessment </w:t>
      </w:r>
      <w:r w:rsidR="00D0330C" w:rsidRPr="00F0716B">
        <w:rPr>
          <w:sz w:val="22"/>
          <w:szCs w:val="22"/>
          <w:lang w:val="en-GB"/>
        </w:rPr>
        <w:t xml:space="preserve">called </w:t>
      </w:r>
      <w:r w:rsidR="00680C40">
        <w:rPr>
          <w:sz w:val="22"/>
          <w:szCs w:val="22"/>
          <w:lang w:val="en-GB"/>
        </w:rPr>
        <w:t>the '</w:t>
      </w:r>
      <w:r w:rsidR="00D0330C" w:rsidRPr="00F0716B">
        <w:rPr>
          <w:sz w:val="22"/>
          <w:szCs w:val="22"/>
          <w:lang w:val="en-GB"/>
        </w:rPr>
        <w:t>thermal sensation vote</w:t>
      </w:r>
      <w:r w:rsidR="00680C40">
        <w:rPr>
          <w:sz w:val="22"/>
          <w:szCs w:val="22"/>
          <w:lang w:val="en-GB"/>
        </w:rPr>
        <w:t>'</w:t>
      </w:r>
      <w:r w:rsidR="00473FE0" w:rsidRPr="00F0716B">
        <w:rPr>
          <w:sz w:val="22"/>
          <w:szCs w:val="22"/>
          <w:lang w:val="en-GB"/>
        </w:rPr>
        <w:t xml:space="preserve"> (TSV)</w:t>
      </w:r>
      <w:r w:rsidR="00D0330C" w:rsidRPr="00F0716B">
        <w:rPr>
          <w:sz w:val="22"/>
          <w:szCs w:val="22"/>
          <w:lang w:val="en-GB"/>
        </w:rPr>
        <w:t xml:space="preserve">. </w:t>
      </w:r>
      <w:r w:rsidR="00D0330C" w:rsidRPr="00C1031F">
        <w:rPr>
          <w:spacing w:val="-2"/>
          <w:sz w:val="22"/>
          <w:szCs w:val="22"/>
          <w:lang w:val="en-GB"/>
        </w:rPr>
        <w:t xml:space="preserve">Each participant marked one of the following answers </w:t>
      </w:r>
      <w:r w:rsidR="00876BB2" w:rsidRPr="00C1031F">
        <w:rPr>
          <w:spacing w:val="-2"/>
          <w:sz w:val="22"/>
          <w:szCs w:val="22"/>
          <w:lang w:val="en-GB"/>
        </w:rPr>
        <w:t>on their</w:t>
      </w:r>
      <w:r w:rsidR="00D0330C" w:rsidRPr="00C1031F">
        <w:rPr>
          <w:spacing w:val="-2"/>
          <w:sz w:val="22"/>
          <w:szCs w:val="22"/>
          <w:lang w:val="en-GB"/>
        </w:rPr>
        <w:t xml:space="preserve"> rating of the thermal state: </w:t>
      </w:r>
      <w:r w:rsidR="00680C40">
        <w:rPr>
          <w:spacing w:val="-2"/>
          <w:sz w:val="22"/>
          <w:szCs w:val="22"/>
          <w:lang w:val="en-GB"/>
        </w:rPr>
        <w:t>"</w:t>
      </w:r>
      <w:r w:rsidR="00D0330C" w:rsidRPr="00C1031F">
        <w:rPr>
          <w:spacing w:val="-2"/>
          <w:sz w:val="22"/>
          <w:szCs w:val="22"/>
          <w:lang w:val="en-GB"/>
        </w:rPr>
        <w:t>too hot</w:t>
      </w:r>
      <w:r w:rsidR="00680C40">
        <w:rPr>
          <w:spacing w:val="-2"/>
          <w:sz w:val="22"/>
          <w:szCs w:val="22"/>
          <w:lang w:val="en-GB"/>
        </w:rPr>
        <w:t>"</w:t>
      </w:r>
      <w:r w:rsidR="00D0330C" w:rsidRPr="00C1031F">
        <w:rPr>
          <w:spacing w:val="-2"/>
          <w:sz w:val="22"/>
          <w:szCs w:val="22"/>
          <w:lang w:val="en-GB"/>
        </w:rPr>
        <w:t xml:space="preserve"> (+3), </w:t>
      </w:r>
      <w:r w:rsidR="00680C40">
        <w:rPr>
          <w:spacing w:val="-2"/>
          <w:sz w:val="22"/>
          <w:szCs w:val="22"/>
          <w:lang w:val="en-GB"/>
        </w:rPr>
        <w:t>"</w:t>
      </w:r>
      <w:r w:rsidR="00D0330C" w:rsidRPr="00C1031F">
        <w:rPr>
          <w:spacing w:val="-2"/>
          <w:sz w:val="22"/>
          <w:szCs w:val="22"/>
          <w:lang w:val="en-GB"/>
        </w:rPr>
        <w:t>too warm</w:t>
      </w:r>
      <w:r w:rsidR="00680C40">
        <w:rPr>
          <w:spacing w:val="-2"/>
          <w:sz w:val="22"/>
          <w:szCs w:val="22"/>
          <w:lang w:val="en-GB"/>
        </w:rPr>
        <w:t>"</w:t>
      </w:r>
      <w:r w:rsidR="00D0330C" w:rsidRPr="00C1031F">
        <w:rPr>
          <w:spacing w:val="-2"/>
          <w:sz w:val="22"/>
          <w:szCs w:val="22"/>
          <w:lang w:val="en-GB"/>
        </w:rPr>
        <w:t xml:space="preserve"> (+2), </w:t>
      </w:r>
      <w:r w:rsidR="00680C40">
        <w:rPr>
          <w:spacing w:val="-2"/>
          <w:sz w:val="22"/>
          <w:szCs w:val="22"/>
          <w:lang w:val="en-GB"/>
        </w:rPr>
        <w:t>"</w:t>
      </w:r>
      <w:r w:rsidR="00D0330C" w:rsidRPr="00C1031F">
        <w:rPr>
          <w:spacing w:val="-2"/>
          <w:sz w:val="22"/>
          <w:szCs w:val="22"/>
          <w:lang w:val="en-GB"/>
        </w:rPr>
        <w:t>pleasantly warm</w:t>
      </w:r>
      <w:r w:rsidR="00680C40">
        <w:rPr>
          <w:spacing w:val="-2"/>
          <w:sz w:val="22"/>
          <w:szCs w:val="22"/>
          <w:lang w:val="en-GB"/>
        </w:rPr>
        <w:t>"</w:t>
      </w:r>
      <w:r w:rsidR="00D0330C" w:rsidRPr="00C1031F">
        <w:rPr>
          <w:spacing w:val="-2"/>
          <w:sz w:val="22"/>
          <w:szCs w:val="22"/>
          <w:lang w:val="en-GB"/>
        </w:rPr>
        <w:t xml:space="preserve"> (+1), </w:t>
      </w:r>
      <w:r w:rsidR="00680C40">
        <w:rPr>
          <w:spacing w:val="-2"/>
          <w:sz w:val="22"/>
          <w:szCs w:val="22"/>
          <w:lang w:val="en-GB"/>
        </w:rPr>
        <w:t>"</w:t>
      </w:r>
      <w:r w:rsidR="00D0330C" w:rsidRPr="00C1031F">
        <w:rPr>
          <w:spacing w:val="-2"/>
          <w:sz w:val="22"/>
          <w:szCs w:val="22"/>
          <w:lang w:val="en-GB"/>
        </w:rPr>
        <w:t>neutral</w:t>
      </w:r>
      <w:r w:rsidR="00680C40">
        <w:rPr>
          <w:spacing w:val="-2"/>
          <w:sz w:val="22"/>
          <w:szCs w:val="22"/>
          <w:lang w:val="en-GB"/>
        </w:rPr>
        <w:t>"</w:t>
      </w:r>
      <w:r w:rsidR="00D0330C" w:rsidRPr="00C1031F">
        <w:rPr>
          <w:spacing w:val="-2"/>
          <w:sz w:val="22"/>
          <w:szCs w:val="22"/>
          <w:lang w:val="en-GB"/>
        </w:rPr>
        <w:t xml:space="preserve"> (0), </w:t>
      </w:r>
      <w:r w:rsidR="00680C40">
        <w:rPr>
          <w:spacing w:val="-2"/>
          <w:sz w:val="22"/>
          <w:szCs w:val="22"/>
          <w:lang w:val="en-GB"/>
        </w:rPr>
        <w:t>"</w:t>
      </w:r>
      <w:r w:rsidR="00D0330C" w:rsidRPr="00C1031F">
        <w:rPr>
          <w:spacing w:val="-2"/>
          <w:sz w:val="22"/>
          <w:szCs w:val="22"/>
          <w:lang w:val="en-GB"/>
        </w:rPr>
        <w:t>pleasantly cool</w:t>
      </w:r>
      <w:r w:rsidR="00680C40">
        <w:rPr>
          <w:spacing w:val="-2"/>
          <w:sz w:val="22"/>
          <w:szCs w:val="22"/>
          <w:lang w:val="en-GB"/>
        </w:rPr>
        <w:t>"</w:t>
      </w:r>
      <w:r w:rsidR="00D0330C" w:rsidRPr="00C1031F">
        <w:rPr>
          <w:spacing w:val="-2"/>
          <w:sz w:val="22"/>
          <w:szCs w:val="22"/>
          <w:lang w:val="en-GB"/>
        </w:rPr>
        <w:t xml:space="preserve"> (-1), </w:t>
      </w:r>
      <w:r w:rsidR="00680C40">
        <w:rPr>
          <w:spacing w:val="-2"/>
          <w:sz w:val="22"/>
          <w:szCs w:val="22"/>
          <w:lang w:val="en-GB"/>
        </w:rPr>
        <w:t>"</w:t>
      </w:r>
      <w:r w:rsidR="00D0330C" w:rsidRPr="00C1031F">
        <w:rPr>
          <w:spacing w:val="-2"/>
          <w:sz w:val="22"/>
          <w:szCs w:val="22"/>
          <w:lang w:val="en-GB"/>
        </w:rPr>
        <w:t>too cool</w:t>
      </w:r>
      <w:r w:rsidR="00680C40">
        <w:rPr>
          <w:spacing w:val="-2"/>
          <w:sz w:val="22"/>
          <w:szCs w:val="22"/>
          <w:lang w:val="en-GB"/>
        </w:rPr>
        <w:t>"</w:t>
      </w:r>
      <w:r w:rsidR="00D0330C" w:rsidRPr="00C1031F">
        <w:rPr>
          <w:spacing w:val="-2"/>
          <w:sz w:val="22"/>
          <w:szCs w:val="22"/>
          <w:lang w:val="en-GB"/>
        </w:rPr>
        <w:t xml:space="preserve"> (-2), </w:t>
      </w:r>
      <w:r w:rsidR="00680C40">
        <w:rPr>
          <w:spacing w:val="-2"/>
          <w:sz w:val="22"/>
          <w:szCs w:val="22"/>
          <w:lang w:val="en-GB"/>
        </w:rPr>
        <w:t>"</w:t>
      </w:r>
      <w:r w:rsidR="00D0330C" w:rsidRPr="00C1031F">
        <w:rPr>
          <w:spacing w:val="-2"/>
          <w:sz w:val="22"/>
          <w:szCs w:val="22"/>
          <w:lang w:val="en-GB"/>
        </w:rPr>
        <w:t>too cold</w:t>
      </w:r>
      <w:r w:rsidR="00680C40">
        <w:rPr>
          <w:spacing w:val="-2"/>
          <w:sz w:val="22"/>
          <w:szCs w:val="22"/>
          <w:lang w:val="en-GB"/>
        </w:rPr>
        <w:t>"</w:t>
      </w:r>
      <w:r w:rsidR="00D0330C" w:rsidRPr="00C1031F">
        <w:rPr>
          <w:spacing w:val="-2"/>
          <w:sz w:val="22"/>
          <w:szCs w:val="22"/>
          <w:lang w:val="en-GB"/>
        </w:rPr>
        <w:t xml:space="preserve"> (-3). The air quality raring ranged from</w:t>
      </w:r>
      <w:r w:rsidR="00877622" w:rsidRPr="00C1031F">
        <w:rPr>
          <w:spacing w:val="-2"/>
          <w:sz w:val="22"/>
          <w:szCs w:val="22"/>
          <w:lang w:val="en-GB"/>
        </w:rPr>
        <w:t xml:space="preserve"> </w:t>
      </w:r>
      <w:r w:rsidR="00680C40">
        <w:rPr>
          <w:spacing w:val="-2"/>
          <w:sz w:val="22"/>
          <w:szCs w:val="22"/>
          <w:lang w:val="en-GB"/>
        </w:rPr>
        <w:t>"</w:t>
      </w:r>
      <w:r w:rsidR="00D0330C" w:rsidRPr="00C1031F">
        <w:rPr>
          <w:spacing w:val="-2"/>
          <w:sz w:val="22"/>
          <w:szCs w:val="22"/>
          <w:lang w:val="en-GB"/>
        </w:rPr>
        <w:t>very fresh</w:t>
      </w:r>
      <w:r w:rsidR="00680C40">
        <w:rPr>
          <w:spacing w:val="-2"/>
          <w:sz w:val="22"/>
          <w:szCs w:val="22"/>
          <w:lang w:val="en-GB"/>
        </w:rPr>
        <w:t>"</w:t>
      </w:r>
      <w:r w:rsidR="00D0330C" w:rsidRPr="00C1031F">
        <w:rPr>
          <w:spacing w:val="-2"/>
          <w:sz w:val="22"/>
          <w:szCs w:val="22"/>
          <w:lang w:val="en-GB"/>
        </w:rPr>
        <w:t xml:space="preserve"> (+2), </w:t>
      </w:r>
      <w:r w:rsidR="00680C40">
        <w:rPr>
          <w:spacing w:val="-2"/>
          <w:sz w:val="22"/>
          <w:szCs w:val="22"/>
          <w:lang w:val="en-GB"/>
        </w:rPr>
        <w:t>"</w:t>
      </w:r>
      <w:r w:rsidR="00D0330C" w:rsidRPr="00C1031F">
        <w:rPr>
          <w:spacing w:val="-2"/>
          <w:sz w:val="22"/>
          <w:szCs w:val="22"/>
          <w:lang w:val="en-GB"/>
        </w:rPr>
        <w:t>quite fresh</w:t>
      </w:r>
      <w:r w:rsidR="00680C40">
        <w:rPr>
          <w:spacing w:val="-2"/>
          <w:sz w:val="22"/>
          <w:szCs w:val="22"/>
          <w:lang w:val="en-GB"/>
        </w:rPr>
        <w:t>"</w:t>
      </w:r>
      <w:r w:rsidR="00D0330C" w:rsidRPr="00C1031F">
        <w:rPr>
          <w:spacing w:val="-2"/>
          <w:sz w:val="22"/>
          <w:szCs w:val="22"/>
          <w:lang w:val="en-GB"/>
        </w:rPr>
        <w:t xml:space="preserve"> (+1) to </w:t>
      </w:r>
      <w:r w:rsidR="00680C40">
        <w:rPr>
          <w:spacing w:val="-2"/>
          <w:sz w:val="22"/>
          <w:szCs w:val="22"/>
          <w:lang w:val="en-GB"/>
        </w:rPr>
        <w:t>"</w:t>
      </w:r>
      <w:r w:rsidR="00D0330C" w:rsidRPr="00C1031F">
        <w:rPr>
          <w:spacing w:val="-2"/>
          <w:sz w:val="22"/>
          <w:szCs w:val="22"/>
          <w:lang w:val="en-GB"/>
        </w:rPr>
        <w:t>not fresh</w:t>
      </w:r>
      <w:r w:rsidR="00680C40">
        <w:rPr>
          <w:spacing w:val="-2"/>
          <w:sz w:val="22"/>
          <w:szCs w:val="22"/>
          <w:lang w:val="en-GB"/>
        </w:rPr>
        <w:t>"</w:t>
      </w:r>
      <w:r w:rsidR="007851A1" w:rsidRPr="00C1031F">
        <w:rPr>
          <w:spacing w:val="-2"/>
          <w:sz w:val="22"/>
          <w:szCs w:val="22"/>
          <w:lang w:val="en-GB"/>
        </w:rPr>
        <w:t xml:space="preserve"> </w:t>
      </w:r>
      <w:r w:rsidR="00D0330C" w:rsidRPr="00C1031F">
        <w:rPr>
          <w:spacing w:val="-2"/>
          <w:sz w:val="22"/>
          <w:szCs w:val="22"/>
          <w:lang w:val="en-GB"/>
        </w:rPr>
        <w:t xml:space="preserve">(-1). All the ailments mentioned above have been considered together as the </w:t>
      </w:r>
      <w:r w:rsidR="00EF41C8" w:rsidRPr="00C1031F">
        <w:rPr>
          <w:spacing w:val="-2"/>
          <w:sz w:val="22"/>
          <w:szCs w:val="22"/>
          <w:lang w:val="en-GB"/>
        </w:rPr>
        <w:t>average</w:t>
      </w:r>
      <w:r w:rsidR="00D0330C" w:rsidRPr="00C1031F">
        <w:rPr>
          <w:spacing w:val="-2"/>
          <w:sz w:val="22"/>
          <w:szCs w:val="22"/>
          <w:lang w:val="en-GB"/>
        </w:rPr>
        <w:t xml:space="preserve"> value of the four marks (</w:t>
      </w:r>
      <w:r w:rsidR="00EF41C8" w:rsidRPr="00C1031F">
        <w:rPr>
          <w:spacing w:val="-2"/>
          <w:sz w:val="22"/>
          <w:szCs w:val="22"/>
          <w:lang w:val="en-GB"/>
        </w:rPr>
        <w:t xml:space="preserve">given </w:t>
      </w:r>
      <w:r w:rsidR="00D0330C" w:rsidRPr="00C1031F">
        <w:rPr>
          <w:spacing w:val="-2"/>
          <w:sz w:val="22"/>
          <w:szCs w:val="22"/>
          <w:lang w:val="en-GB"/>
        </w:rPr>
        <w:t>for each ailment) in the range from (-2) to (+2).</w:t>
      </w:r>
    </w:p>
    <w:p w14:paraId="4AAA670E" w14:textId="1F9697B3" w:rsidR="00683DB9" w:rsidRPr="00F0716B" w:rsidRDefault="00CD5251" w:rsidP="00BB2BCE">
      <w:pPr>
        <w:pStyle w:val="Paragraph"/>
        <w:jc w:val="center"/>
        <w:rPr>
          <w:lang w:val="en-GB"/>
        </w:rPr>
      </w:pPr>
      <w:r>
        <w:lastRenderedPageBreak/>
        <w:pict w14:anchorId="7C8A45CA">
          <v:shape id="_x0000_i1040" type="#_x0000_t75" style="width:394pt;height:193.5pt">
            <v:imagedata r:id="rId14" o:title="Krawczyk et al - Fig 7" croptop="3557f" cropbottom="4980f" cropleft="1880f" cropright="1880f"/>
          </v:shape>
        </w:pict>
      </w:r>
    </w:p>
    <w:p w14:paraId="064070A9" w14:textId="77777777" w:rsidR="004E5533" w:rsidRPr="00F0716B" w:rsidRDefault="009B2E95" w:rsidP="008675B5">
      <w:pPr>
        <w:pStyle w:val="Rrys"/>
        <w:rPr>
          <w:lang w:val="en-GB"/>
        </w:rPr>
      </w:pPr>
      <w:r w:rsidRPr="00F0716B">
        <w:rPr>
          <w:b/>
          <w:bCs/>
          <w:lang w:val="en-GB"/>
        </w:rPr>
        <w:t xml:space="preserve">Fig. </w:t>
      </w:r>
      <w:r w:rsidR="0092189A" w:rsidRPr="00F0716B">
        <w:rPr>
          <w:b/>
          <w:bCs/>
          <w:lang w:val="en-GB"/>
        </w:rPr>
        <w:t>7</w:t>
      </w:r>
      <w:r w:rsidRPr="00F0716B">
        <w:rPr>
          <w:b/>
          <w:bCs/>
          <w:lang w:val="en-GB"/>
        </w:rPr>
        <w:t>.</w:t>
      </w:r>
      <w:r w:rsidRPr="00F0716B">
        <w:rPr>
          <w:lang w:val="en-GB"/>
        </w:rPr>
        <w:t xml:space="preserve"> </w:t>
      </w:r>
      <w:r w:rsidR="00EF41C8" w:rsidRPr="00F0716B">
        <w:rPr>
          <w:lang w:val="en-GB"/>
        </w:rPr>
        <w:t xml:space="preserve">Influence of subjective air quality, </w:t>
      </w:r>
      <w:r w:rsidR="00840453">
        <w:rPr>
          <w:lang w:val="en-GB"/>
        </w:rPr>
        <w:t xml:space="preserve">the </w:t>
      </w:r>
      <w:r w:rsidR="00EF41C8" w:rsidRPr="00F0716B">
        <w:rPr>
          <w:lang w:val="en-GB"/>
        </w:rPr>
        <w:t xml:space="preserve">occurrence of ailments and thermal sensation vote on </w:t>
      </w:r>
      <w:r w:rsidR="00840453">
        <w:rPr>
          <w:lang w:val="en-GB"/>
        </w:rPr>
        <w:t xml:space="preserve">the </w:t>
      </w:r>
      <w:r w:rsidR="00EF41C8" w:rsidRPr="00F0716B">
        <w:rPr>
          <w:lang w:val="en-GB"/>
        </w:rPr>
        <w:t>well-being of the respondents</w:t>
      </w:r>
    </w:p>
    <w:p w14:paraId="712EBE6F" w14:textId="77777777" w:rsidR="008675B5" w:rsidRPr="00F0716B" w:rsidRDefault="008675B5" w:rsidP="00A9594F">
      <w:pPr>
        <w:ind w:firstLine="284"/>
        <w:jc w:val="both"/>
        <w:rPr>
          <w:sz w:val="22"/>
          <w:szCs w:val="22"/>
          <w:lang w:val="en-GB"/>
        </w:rPr>
      </w:pPr>
    </w:p>
    <w:p w14:paraId="294CADA0" w14:textId="77777777" w:rsidR="00A9594F" w:rsidRPr="00F0716B" w:rsidRDefault="00AB0A36" w:rsidP="00A9594F">
      <w:pPr>
        <w:ind w:firstLine="284"/>
        <w:jc w:val="both"/>
        <w:rPr>
          <w:sz w:val="22"/>
          <w:szCs w:val="22"/>
          <w:lang w:val="en-GB"/>
        </w:rPr>
      </w:pPr>
      <w:r w:rsidRPr="00F0716B">
        <w:rPr>
          <w:sz w:val="22"/>
          <w:szCs w:val="22"/>
          <w:lang w:val="en-GB"/>
        </w:rPr>
        <w:t>As the subjective rating of air quality increases, the well</w:t>
      </w:r>
      <w:r w:rsidR="00840453">
        <w:rPr>
          <w:sz w:val="22"/>
          <w:szCs w:val="22"/>
          <w:lang w:val="en-GB"/>
        </w:rPr>
        <w:t>-</w:t>
      </w:r>
      <w:r w:rsidRPr="00F0716B">
        <w:rPr>
          <w:sz w:val="22"/>
          <w:szCs w:val="22"/>
          <w:lang w:val="en-GB"/>
        </w:rPr>
        <w:t xml:space="preserve">being of the respondents also rises. This correlation is quite </w:t>
      </w:r>
      <w:r w:rsidR="002E78AD" w:rsidRPr="00F0716B">
        <w:rPr>
          <w:sz w:val="22"/>
          <w:szCs w:val="22"/>
          <w:lang w:val="en-GB"/>
        </w:rPr>
        <w:t xml:space="preserve">clear, contrary to the influence of the occurrence of ailments (as </w:t>
      </w:r>
      <w:r w:rsidR="00E142F9" w:rsidRPr="00F0716B">
        <w:rPr>
          <w:sz w:val="22"/>
          <w:szCs w:val="22"/>
          <w:lang w:val="en-GB"/>
        </w:rPr>
        <w:t xml:space="preserve">an </w:t>
      </w:r>
      <w:r w:rsidR="002E78AD" w:rsidRPr="00F0716B">
        <w:rPr>
          <w:sz w:val="22"/>
          <w:szCs w:val="22"/>
          <w:lang w:val="en-GB"/>
        </w:rPr>
        <w:t>average rating of four</w:t>
      </w:r>
      <w:r w:rsidR="00E142F9" w:rsidRPr="00F0716B">
        <w:rPr>
          <w:sz w:val="22"/>
          <w:szCs w:val="22"/>
          <w:lang w:val="en-GB"/>
        </w:rPr>
        <w:t xml:space="preserve"> of them</w:t>
      </w:r>
      <w:r w:rsidR="002E78AD" w:rsidRPr="00F0716B">
        <w:rPr>
          <w:sz w:val="22"/>
          <w:szCs w:val="22"/>
          <w:lang w:val="en-GB"/>
        </w:rPr>
        <w:t>)</w:t>
      </w:r>
      <w:r w:rsidR="008363B5" w:rsidRPr="00F0716B">
        <w:rPr>
          <w:sz w:val="22"/>
          <w:szCs w:val="22"/>
          <w:lang w:val="en-GB"/>
        </w:rPr>
        <w:t>. In this</w:t>
      </w:r>
      <w:r w:rsidR="002E78AD" w:rsidRPr="00F0716B">
        <w:rPr>
          <w:sz w:val="22"/>
          <w:szCs w:val="22"/>
          <w:lang w:val="en-GB"/>
        </w:rPr>
        <w:t xml:space="preserve"> case</w:t>
      </w:r>
      <w:r w:rsidR="00840453">
        <w:rPr>
          <w:sz w:val="22"/>
          <w:szCs w:val="22"/>
          <w:lang w:val="en-GB"/>
        </w:rPr>
        <w:t>,</w:t>
      </w:r>
      <w:r w:rsidR="002E78AD" w:rsidRPr="00F0716B">
        <w:rPr>
          <w:sz w:val="22"/>
          <w:szCs w:val="22"/>
          <w:lang w:val="en-GB"/>
        </w:rPr>
        <w:t xml:space="preserve"> they might not </w:t>
      </w:r>
      <w:r w:rsidR="00840453">
        <w:rPr>
          <w:sz w:val="22"/>
          <w:szCs w:val="22"/>
          <w:lang w:val="en-GB"/>
        </w:rPr>
        <w:t>impact human well-being, although the opposite seems to be true (when people feel ill, they poorly assess their well-</w:t>
      </w:r>
      <w:r w:rsidR="008363B5" w:rsidRPr="00F0716B">
        <w:rPr>
          <w:sz w:val="22"/>
          <w:szCs w:val="22"/>
          <w:lang w:val="en-GB"/>
        </w:rPr>
        <w:t>being)</w:t>
      </w:r>
      <w:r w:rsidR="008204A8" w:rsidRPr="00F0716B">
        <w:rPr>
          <w:sz w:val="22"/>
          <w:szCs w:val="22"/>
          <w:lang w:val="en-GB"/>
        </w:rPr>
        <w:t xml:space="preserve">. The explanation </w:t>
      </w:r>
      <w:r w:rsidR="008363B5" w:rsidRPr="00F0716B">
        <w:rPr>
          <w:sz w:val="22"/>
          <w:szCs w:val="22"/>
          <w:lang w:val="en-GB"/>
        </w:rPr>
        <w:t xml:space="preserve">of this phenomenon </w:t>
      </w:r>
      <w:r w:rsidR="00E142F9" w:rsidRPr="00F0716B">
        <w:rPr>
          <w:sz w:val="22"/>
          <w:szCs w:val="22"/>
          <w:lang w:val="en-GB"/>
        </w:rPr>
        <w:t>might be</w:t>
      </w:r>
      <w:r w:rsidR="008204A8" w:rsidRPr="00F0716B">
        <w:rPr>
          <w:sz w:val="22"/>
          <w:szCs w:val="22"/>
          <w:lang w:val="en-GB"/>
        </w:rPr>
        <w:t xml:space="preserve"> that the students were </w:t>
      </w:r>
      <w:r w:rsidR="008363B5" w:rsidRPr="00F0716B">
        <w:rPr>
          <w:sz w:val="22"/>
          <w:szCs w:val="22"/>
          <w:lang w:val="en-GB"/>
        </w:rPr>
        <w:t xml:space="preserve">not quite responsive to the occurrence of ailment because </w:t>
      </w:r>
      <w:r w:rsidR="00840453">
        <w:rPr>
          <w:sz w:val="22"/>
          <w:szCs w:val="22"/>
          <w:lang w:val="en-GB"/>
        </w:rPr>
        <w:t>a small number of the people only experienced these problems</w:t>
      </w:r>
      <w:r w:rsidR="008363B5" w:rsidRPr="00F0716B">
        <w:rPr>
          <w:sz w:val="22"/>
          <w:szCs w:val="22"/>
          <w:lang w:val="en-GB"/>
        </w:rPr>
        <w:t>. Thus, their assessment was not large enough to make a difference for the whole group, who was overwhelmingly not reporting any health</w:t>
      </w:r>
      <w:r w:rsidR="00840453">
        <w:rPr>
          <w:sz w:val="22"/>
          <w:szCs w:val="22"/>
          <w:lang w:val="en-GB"/>
        </w:rPr>
        <w:t>-</w:t>
      </w:r>
      <w:r w:rsidR="008363B5" w:rsidRPr="00F0716B">
        <w:rPr>
          <w:sz w:val="22"/>
          <w:szCs w:val="22"/>
          <w:lang w:val="en-GB"/>
        </w:rPr>
        <w:t xml:space="preserve">related problems. </w:t>
      </w:r>
      <w:r w:rsidR="00840453">
        <w:rPr>
          <w:sz w:val="22"/>
          <w:szCs w:val="22"/>
          <w:lang w:val="en-GB"/>
        </w:rPr>
        <w:t>The most favourable state for the thermal environment assessment</w:t>
      </w:r>
      <w:r w:rsidR="008363B5" w:rsidRPr="00F0716B">
        <w:rPr>
          <w:sz w:val="22"/>
          <w:szCs w:val="22"/>
          <w:lang w:val="en-GB"/>
        </w:rPr>
        <w:t xml:space="preserve"> is neutral (0). Both positive and negative values</w:t>
      </w:r>
      <w:r w:rsidR="00840453">
        <w:rPr>
          <w:sz w:val="22"/>
          <w:szCs w:val="22"/>
          <w:lang w:val="en-GB"/>
        </w:rPr>
        <w:t>,</w:t>
      </w:r>
      <w:r w:rsidR="008363B5" w:rsidRPr="00F0716B">
        <w:rPr>
          <w:sz w:val="22"/>
          <w:szCs w:val="22"/>
          <w:lang w:val="en-GB"/>
        </w:rPr>
        <w:t xml:space="preserve"> such as (-3) </w:t>
      </w:r>
      <w:r w:rsidR="00680C40">
        <w:rPr>
          <w:sz w:val="22"/>
          <w:szCs w:val="22"/>
          <w:lang w:val="en-GB"/>
        </w:rPr>
        <w:t>"</w:t>
      </w:r>
      <w:r w:rsidR="008363B5" w:rsidRPr="00F0716B">
        <w:rPr>
          <w:sz w:val="22"/>
          <w:szCs w:val="22"/>
          <w:lang w:val="en-GB"/>
        </w:rPr>
        <w:t>too cold</w:t>
      </w:r>
      <w:r w:rsidR="00680C40">
        <w:rPr>
          <w:sz w:val="22"/>
          <w:szCs w:val="22"/>
          <w:lang w:val="en-GB"/>
        </w:rPr>
        <w:t>"</w:t>
      </w:r>
      <w:r w:rsidR="008363B5" w:rsidRPr="00F0716B">
        <w:rPr>
          <w:sz w:val="22"/>
          <w:szCs w:val="22"/>
          <w:lang w:val="en-GB"/>
        </w:rPr>
        <w:t xml:space="preserve"> or (+3) </w:t>
      </w:r>
      <w:r w:rsidR="00680C40">
        <w:rPr>
          <w:sz w:val="22"/>
          <w:szCs w:val="22"/>
          <w:lang w:val="en-GB"/>
        </w:rPr>
        <w:t>"</w:t>
      </w:r>
      <w:r w:rsidR="008363B5" w:rsidRPr="00F0716B">
        <w:rPr>
          <w:sz w:val="22"/>
          <w:szCs w:val="22"/>
          <w:lang w:val="en-GB"/>
        </w:rPr>
        <w:t>too hot</w:t>
      </w:r>
      <w:r w:rsidR="00680C40">
        <w:rPr>
          <w:sz w:val="22"/>
          <w:szCs w:val="22"/>
          <w:lang w:val="en-GB"/>
        </w:rPr>
        <w:t>"</w:t>
      </w:r>
      <w:r w:rsidR="00840453">
        <w:rPr>
          <w:sz w:val="22"/>
          <w:szCs w:val="22"/>
          <w:lang w:val="en-GB"/>
        </w:rPr>
        <w:t>,</w:t>
      </w:r>
      <w:r w:rsidR="00DE654D" w:rsidRPr="00F0716B">
        <w:rPr>
          <w:sz w:val="22"/>
          <w:szCs w:val="22"/>
          <w:lang w:val="en-GB"/>
        </w:rPr>
        <w:t xml:space="preserve"> describe negative sensations. However, the study has shown that the most preferable (the one that produces </w:t>
      </w:r>
      <w:r w:rsidR="00840453">
        <w:rPr>
          <w:sz w:val="22"/>
          <w:szCs w:val="22"/>
          <w:lang w:val="en-GB"/>
        </w:rPr>
        <w:t xml:space="preserve">the </w:t>
      </w:r>
      <w:r w:rsidR="00DE654D" w:rsidRPr="00F0716B">
        <w:rPr>
          <w:sz w:val="22"/>
          <w:szCs w:val="22"/>
          <w:lang w:val="en-GB"/>
        </w:rPr>
        <w:t xml:space="preserve">highest well-being rating) is the thermal sensation value of </w:t>
      </w:r>
      <w:r w:rsidR="00E142F9" w:rsidRPr="00F0716B">
        <w:rPr>
          <w:sz w:val="22"/>
          <w:szCs w:val="22"/>
          <w:lang w:val="en-GB"/>
        </w:rPr>
        <w:t xml:space="preserve">about </w:t>
      </w:r>
      <w:r w:rsidR="00DE654D" w:rsidRPr="00F0716B">
        <w:rPr>
          <w:sz w:val="22"/>
          <w:szCs w:val="22"/>
          <w:lang w:val="en-GB"/>
        </w:rPr>
        <w:t xml:space="preserve">-1.5. </w:t>
      </w:r>
      <w:r w:rsidR="00840453">
        <w:rPr>
          <w:sz w:val="22"/>
          <w:szCs w:val="22"/>
          <w:lang w:val="en-GB"/>
        </w:rPr>
        <w:t>It</w:t>
      </w:r>
      <w:r w:rsidR="00DE654D" w:rsidRPr="00F0716B">
        <w:rPr>
          <w:sz w:val="22"/>
          <w:szCs w:val="22"/>
          <w:lang w:val="en-GB"/>
        </w:rPr>
        <w:t xml:space="preserve"> can be attributed to the high indoor and outdoor temperature</w:t>
      </w:r>
      <w:r w:rsidR="00840453">
        <w:rPr>
          <w:sz w:val="22"/>
          <w:szCs w:val="22"/>
          <w:lang w:val="en-GB"/>
        </w:rPr>
        <w:t>s</w:t>
      </w:r>
      <w:r w:rsidR="00DE654D" w:rsidRPr="00F0716B">
        <w:rPr>
          <w:sz w:val="22"/>
          <w:szCs w:val="22"/>
          <w:lang w:val="en-GB"/>
        </w:rPr>
        <w:t xml:space="preserve"> </w:t>
      </w:r>
      <w:r w:rsidR="00E142F9" w:rsidRPr="00F0716B">
        <w:rPr>
          <w:sz w:val="22"/>
          <w:szCs w:val="22"/>
          <w:lang w:val="en-GB"/>
        </w:rPr>
        <w:t xml:space="preserve">at the time of measurements </w:t>
      </w:r>
      <w:r w:rsidR="00DE654D" w:rsidRPr="00F0716B">
        <w:rPr>
          <w:sz w:val="22"/>
          <w:szCs w:val="22"/>
          <w:lang w:val="en-GB"/>
        </w:rPr>
        <w:t xml:space="preserve">and the preference of the respondents to reduce the surrounding temperature. </w:t>
      </w:r>
      <w:r w:rsidR="006B598F" w:rsidRPr="00F0716B">
        <w:rPr>
          <w:sz w:val="22"/>
          <w:szCs w:val="22"/>
          <w:lang w:val="en-GB"/>
        </w:rPr>
        <w:t xml:space="preserve">It </w:t>
      </w:r>
      <w:r w:rsidR="00840453">
        <w:rPr>
          <w:sz w:val="22"/>
          <w:szCs w:val="22"/>
          <w:lang w:val="en-GB"/>
        </w:rPr>
        <w:t>must</w:t>
      </w:r>
      <w:r w:rsidR="006B598F" w:rsidRPr="00F0716B">
        <w:rPr>
          <w:sz w:val="22"/>
          <w:szCs w:val="22"/>
          <w:lang w:val="en-GB"/>
        </w:rPr>
        <w:t xml:space="preserve"> be explained that the students rated their thermal environment within a wide range of votes: from -3 to +3</w:t>
      </w:r>
      <w:r w:rsidR="00840453">
        <w:rPr>
          <w:sz w:val="22"/>
          <w:szCs w:val="22"/>
          <w:lang w:val="en-GB"/>
        </w:rPr>
        <w:t>,</w:t>
      </w:r>
      <w:r w:rsidR="006B598F" w:rsidRPr="00F0716B">
        <w:rPr>
          <w:sz w:val="22"/>
          <w:szCs w:val="22"/>
          <w:lang w:val="en-GB"/>
        </w:rPr>
        <w:t xml:space="preserve"> </w:t>
      </w:r>
      <w:r w:rsidR="00840453">
        <w:rPr>
          <w:sz w:val="22"/>
          <w:szCs w:val="22"/>
          <w:lang w:val="en-GB"/>
        </w:rPr>
        <w:t>even though the indoor air temperature was uniform within th</w:t>
      </w:r>
      <w:r w:rsidR="001964B2" w:rsidRPr="00F0716B">
        <w:rPr>
          <w:sz w:val="22"/>
          <w:szCs w:val="22"/>
          <w:lang w:val="en-GB"/>
        </w:rPr>
        <w:t xml:space="preserve">e lecture </w:t>
      </w:r>
      <w:r w:rsidR="006B598F" w:rsidRPr="00F0716B">
        <w:rPr>
          <w:sz w:val="22"/>
          <w:szCs w:val="22"/>
          <w:lang w:val="en-GB"/>
        </w:rPr>
        <w:t xml:space="preserve">room. It can stem from their individual </w:t>
      </w:r>
      <w:r w:rsidR="001964B2" w:rsidRPr="00F0716B">
        <w:rPr>
          <w:sz w:val="22"/>
          <w:szCs w:val="22"/>
          <w:lang w:val="en-GB"/>
        </w:rPr>
        <w:t xml:space="preserve">thermal </w:t>
      </w:r>
      <w:r w:rsidR="006B598F" w:rsidRPr="00F0716B">
        <w:rPr>
          <w:sz w:val="22"/>
          <w:szCs w:val="22"/>
          <w:lang w:val="en-GB"/>
        </w:rPr>
        <w:t xml:space="preserve">preferences, </w:t>
      </w:r>
      <w:r w:rsidR="001964B2" w:rsidRPr="00F0716B">
        <w:rPr>
          <w:sz w:val="22"/>
          <w:szCs w:val="22"/>
          <w:lang w:val="en-GB"/>
        </w:rPr>
        <w:t xml:space="preserve">small differences in clothing level, </w:t>
      </w:r>
      <w:r w:rsidR="00840453">
        <w:rPr>
          <w:sz w:val="22"/>
          <w:szCs w:val="22"/>
          <w:lang w:val="en-GB"/>
        </w:rPr>
        <w:t xml:space="preserve">and </w:t>
      </w:r>
      <w:r w:rsidR="006B598F" w:rsidRPr="00F0716B">
        <w:rPr>
          <w:sz w:val="22"/>
          <w:szCs w:val="22"/>
          <w:lang w:val="en-GB"/>
        </w:rPr>
        <w:t>health conditions, but also (at least to some extent) from locally different environment conditions at locations w</w:t>
      </w:r>
      <w:r w:rsidR="00840453">
        <w:rPr>
          <w:sz w:val="22"/>
          <w:szCs w:val="22"/>
          <w:lang w:val="en-GB"/>
        </w:rPr>
        <w:t>h</w:t>
      </w:r>
      <w:r w:rsidR="006B598F" w:rsidRPr="00F0716B">
        <w:rPr>
          <w:sz w:val="22"/>
          <w:szCs w:val="22"/>
          <w:lang w:val="en-GB"/>
        </w:rPr>
        <w:t xml:space="preserve">ere the students were actually </w:t>
      </w:r>
      <w:r w:rsidR="00E142F9" w:rsidRPr="00F0716B">
        <w:rPr>
          <w:sz w:val="22"/>
          <w:szCs w:val="22"/>
          <w:lang w:val="en-GB"/>
        </w:rPr>
        <w:t>situated</w:t>
      </w:r>
      <w:r w:rsidR="006B598F" w:rsidRPr="00F0716B">
        <w:rPr>
          <w:sz w:val="22"/>
          <w:szCs w:val="22"/>
          <w:lang w:val="en-GB"/>
        </w:rPr>
        <w:t xml:space="preserve"> (for example</w:t>
      </w:r>
      <w:r w:rsidR="00840453">
        <w:rPr>
          <w:sz w:val="22"/>
          <w:szCs w:val="22"/>
          <w:lang w:val="en-GB"/>
        </w:rPr>
        <w:t>,</w:t>
      </w:r>
      <w:r w:rsidR="006B598F" w:rsidRPr="00F0716B">
        <w:rPr>
          <w:sz w:val="22"/>
          <w:szCs w:val="22"/>
          <w:lang w:val="en-GB"/>
        </w:rPr>
        <w:t xml:space="preserve"> some sat close to the door, while some might have been directly irradiated by the sun through the windows).</w:t>
      </w:r>
      <w:r w:rsidR="00A9594F" w:rsidRPr="00F0716B">
        <w:rPr>
          <w:sz w:val="22"/>
          <w:szCs w:val="22"/>
          <w:lang w:val="en-GB"/>
        </w:rPr>
        <w:t xml:space="preserve"> The obtained equations related to the impact of air quality (AQ), averaged ailments (AA) and thermal sensations (TS) on well</w:t>
      </w:r>
      <w:r w:rsidR="00840453">
        <w:rPr>
          <w:sz w:val="22"/>
          <w:szCs w:val="22"/>
          <w:lang w:val="en-GB"/>
        </w:rPr>
        <w:t>-</w:t>
      </w:r>
      <w:r w:rsidR="00A9594F" w:rsidRPr="00F0716B">
        <w:rPr>
          <w:sz w:val="22"/>
          <w:szCs w:val="22"/>
          <w:lang w:val="en-GB"/>
        </w:rPr>
        <w:t>being (WB) take the following forms:</w:t>
      </w:r>
    </w:p>
    <w:p w14:paraId="7DAD8BFE" w14:textId="77777777" w:rsidR="00A9594F" w:rsidRPr="00F0716B" w:rsidRDefault="00A9594F" w:rsidP="003427D4">
      <w:pPr>
        <w:tabs>
          <w:tab w:val="right" w:pos="9639"/>
        </w:tabs>
        <w:spacing w:before="120"/>
        <w:ind w:firstLine="2835"/>
        <w:jc w:val="right"/>
        <w:rPr>
          <w:sz w:val="22"/>
          <w:szCs w:val="22"/>
          <w:lang w:val="en-GB"/>
        </w:rPr>
      </w:pPr>
      <w:r w:rsidRPr="00F0716B">
        <w:rPr>
          <w:sz w:val="22"/>
          <w:szCs w:val="22"/>
          <w:lang w:val="en-GB"/>
        </w:rPr>
        <w:t>WB = 0.5437AQ + 0.0055;  R</w:t>
      </w:r>
      <w:r w:rsidRPr="00F0716B">
        <w:rPr>
          <w:sz w:val="22"/>
          <w:szCs w:val="22"/>
          <w:vertAlign w:val="superscript"/>
          <w:lang w:val="en-GB"/>
        </w:rPr>
        <w:t>2</w:t>
      </w:r>
      <w:r w:rsidRPr="00F0716B">
        <w:rPr>
          <w:sz w:val="22"/>
          <w:szCs w:val="22"/>
          <w:lang w:val="en-GB"/>
        </w:rPr>
        <w:t xml:space="preserve"> = 0.28 </w:t>
      </w:r>
      <w:r w:rsidR="00B44589" w:rsidRPr="00F0716B">
        <w:rPr>
          <w:sz w:val="22"/>
          <w:szCs w:val="22"/>
          <w:lang w:val="en-GB"/>
        </w:rPr>
        <w:tab/>
      </w:r>
      <w:r w:rsidRPr="00F0716B">
        <w:rPr>
          <w:sz w:val="22"/>
          <w:szCs w:val="22"/>
          <w:lang w:val="en-GB"/>
        </w:rPr>
        <w:t>(</w:t>
      </w:r>
      <w:r w:rsidR="00673922" w:rsidRPr="00F0716B">
        <w:rPr>
          <w:sz w:val="22"/>
          <w:szCs w:val="22"/>
          <w:lang w:val="en-GB"/>
        </w:rPr>
        <w:t>5</w:t>
      </w:r>
      <w:r w:rsidRPr="00F0716B">
        <w:rPr>
          <w:sz w:val="22"/>
          <w:szCs w:val="22"/>
          <w:lang w:val="en-GB"/>
        </w:rPr>
        <w:t>)</w:t>
      </w:r>
    </w:p>
    <w:p w14:paraId="05E08A4F" w14:textId="77777777" w:rsidR="00A9594F" w:rsidRPr="00F0716B" w:rsidRDefault="00A9594F" w:rsidP="003427D4">
      <w:pPr>
        <w:tabs>
          <w:tab w:val="right" w:pos="9639"/>
        </w:tabs>
        <w:ind w:firstLine="2835"/>
        <w:jc w:val="right"/>
        <w:rPr>
          <w:sz w:val="22"/>
          <w:szCs w:val="22"/>
          <w:lang w:val="en-GB"/>
        </w:rPr>
      </w:pPr>
      <w:r w:rsidRPr="00F0716B">
        <w:rPr>
          <w:sz w:val="22"/>
          <w:szCs w:val="22"/>
          <w:lang w:val="en-GB"/>
        </w:rPr>
        <w:t>WB = 0.0981AA + 0.6072;  R</w:t>
      </w:r>
      <w:r w:rsidRPr="00F0716B">
        <w:rPr>
          <w:sz w:val="22"/>
          <w:szCs w:val="22"/>
          <w:vertAlign w:val="superscript"/>
          <w:lang w:val="en-GB"/>
        </w:rPr>
        <w:t>2</w:t>
      </w:r>
      <w:r w:rsidRPr="00F0716B">
        <w:rPr>
          <w:sz w:val="22"/>
          <w:szCs w:val="22"/>
          <w:lang w:val="en-GB"/>
        </w:rPr>
        <w:t xml:space="preserve"> = 0.02 </w:t>
      </w:r>
      <w:r w:rsidR="00B44589" w:rsidRPr="00F0716B">
        <w:rPr>
          <w:sz w:val="22"/>
          <w:szCs w:val="22"/>
          <w:lang w:val="en-GB"/>
        </w:rPr>
        <w:tab/>
      </w:r>
      <w:r w:rsidRPr="00F0716B">
        <w:rPr>
          <w:sz w:val="22"/>
          <w:szCs w:val="22"/>
          <w:lang w:val="en-GB"/>
        </w:rPr>
        <w:t>(</w:t>
      </w:r>
      <w:r w:rsidR="00673922" w:rsidRPr="00F0716B">
        <w:rPr>
          <w:sz w:val="22"/>
          <w:szCs w:val="22"/>
          <w:lang w:val="en-GB"/>
        </w:rPr>
        <w:t>6</w:t>
      </w:r>
      <w:r w:rsidRPr="00F0716B">
        <w:rPr>
          <w:sz w:val="22"/>
          <w:szCs w:val="22"/>
          <w:lang w:val="en-GB"/>
        </w:rPr>
        <w:t>)</w:t>
      </w:r>
    </w:p>
    <w:p w14:paraId="1226B612" w14:textId="77777777" w:rsidR="00A9594F" w:rsidRPr="00F0716B" w:rsidRDefault="00A9594F" w:rsidP="003427D4">
      <w:pPr>
        <w:tabs>
          <w:tab w:val="right" w:pos="9639"/>
        </w:tabs>
        <w:spacing w:after="120"/>
        <w:ind w:firstLine="2835"/>
        <w:jc w:val="right"/>
        <w:rPr>
          <w:sz w:val="22"/>
          <w:szCs w:val="22"/>
          <w:lang w:val="en-GB"/>
        </w:rPr>
      </w:pPr>
      <w:r w:rsidRPr="00F0716B">
        <w:rPr>
          <w:sz w:val="22"/>
          <w:szCs w:val="22"/>
          <w:lang w:val="en-GB"/>
        </w:rPr>
        <w:t>WB = -0.0575TS</w:t>
      </w:r>
      <w:r w:rsidRPr="00F0716B">
        <w:rPr>
          <w:sz w:val="22"/>
          <w:szCs w:val="22"/>
          <w:vertAlign w:val="superscript"/>
          <w:lang w:val="en-GB"/>
        </w:rPr>
        <w:t>2</w:t>
      </w:r>
      <w:r w:rsidRPr="00F0716B">
        <w:rPr>
          <w:sz w:val="22"/>
          <w:szCs w:val="22"/>
          <w:lang w:val="en-GB"/>
        </w:rPr>
        <w:t xml:space="preserve"> – 0.1635TS + 0.6212;  R</w:t>
      </w:r>
      <w:r w:rsidRPr="00F0716B">
        <w:rPr>
          <w:sz w:val="22"/>
          <w:szCs w:val="22"/>
          <w:vertAlign w:val="superscript"/>
          <w:lang w:val="en-GB"/>
        </w:rPr>
        <w:t>2</w:t>
      </w:r>
      <w:r w:rsidRPr="00F0716B">
        <w:rPr>
          <w:sz w:val="22"/>
          <w:szCs w:val="22"/>
          <w:lang w:val="en-GB"/>
        </w:rPr>
        <w:t xml:space="preserve"> = 0.13 </w:t>
      </w:r>
      <w:r w:rsidR="00B44589" w:rsidRPr="00F0716B">
        <w:rPr>
          <w:sz w:val="22"/>
          <w:szCs w:val="22"/>
          <w:lang w:val="en-GB"/>
        </w:rPr>
        <w:tab/>
      </w:r>
      <w:r w:rsidRPr="00F0716B">
        <w:rPr>
          <w:sz w:val="22"/>
          <w:szCs w:val="22"/>
          <w:lang w:val="en-GB"/>
        </w:rPr>
        <w:t>(</w:t>
      </w:r>
      <w:r w:rsidR="00673922" w:rsidRPr="00F0716B">
        <w:rPr>
          <w:sz w:val="22"/>
          <w:szCs w:val="22"/>
          <w:lang w:val="en-GB"/>
        </w:rPr>
        <w:t>7</w:t>
      </w:r>
      <w:r w:rsidRPr="00F0716B">
        <w:rPr>
          <w:sz w:val="22"/>
          <w:szCs w:val="22"/>
          <w:lang w:val="en-GB"/>
        </w:rPr>
        <w:t>)</w:t>
      </w:r>
    </w:p>
    <w:p w14:paraId="72237AF2" w14:textId="77777777" w:rsidR="008363B5" w:rsidRPr="00F0716B" w:rsidRDefault="00B87429" w:rsidP="001964B2">
      <w:pPr>
        <w:ind w:firstLine="284"/>
        <w:jc w:val="both"/>
        <w:rPr>
          <w:sz w:val="22"/>
          <w:szCs w:val="22"/>
          <w:lang w:val="en-GB"/>
        </w:rPr>
      </w:pPr>
      <w:r w:rsidRPr="00F0716B">
        <w:rPr>
          <w:sz w:val="22"/>
          <w:szCs w:val="22"/>
          <w:lang w:val="en-GB"/>
        </w:rPr>
        <w:t xml:space="preserve">It </w:t>
      </w:r>
      <w:r w:rsidR="001964B2" w:rsidRPr="00F0716B">
        <w:rPr>
          <w:sz w:val="22"/>
          <w:szCs w:val="22"/>
          <w:lang w:val="en-GB"/>
        </w:rPr>
        <w:t xml:space="preserve">also </w:t>
      </w:r>
      <w:r w:rsidRPr="00F0716B">
        <w:rPr>
          <w:sz w:val="22"/>
          <w:szCs w:val="22"/>
          <w:lang w:val="en-GB"/>
        </w:rPr>
        <w:t xml:space="preserve">needs to be </w:t>
      </w:r>
      <w:r w:rsidR="00B849AF" w:rsidRPr="00F0716B">
        <w:rPr>
          <w:sz w:val="22"/>
          <w:szCs w:val="22"/>
          <w:lang w:val="en-GB"/>
        </w:rPr>
        <w:t>mentioned</w:t>
      </w:r>
      <w:r w:rsidRPr="00F0716B">
        <w:rPr>
          <w:sz w:val="22"/>
          <w:szCs w:val="22"/>
          <w:lang w:val="en-GB"/>
        </w:rPr>
        <w:t xml:space="preserve"> that </w:t>
      </w:r>
      <w:r w:rsidR="004C305B" w:rsidRPr="00F0716B">
        <w:rPr>
          <w:sz w:val="22"/>
          <w:szCs w:val="22"/>
          <w:lang w:val="en-GB"/>
        </w:rPr>
        <w:t>20</w:t>
      </w:r>
      <w:r w:rsidRPr="00F0716B">
        <w:rPr>
          <w:sz w:val="22"/>
          <w:szCs w:val="22"/>
          <w:lang w:val="en-GB"/>
        </w:rPr>
        <w:t>% of the respondents indicated in the questionnaire</w:t>
      </w:r>
      <w:r w:rsidR="001964B2" w:rsidRPr="00F0716B">
        <w:rPr>
          <w:sz w:val="22"/>
          <w:szCs w:val="22"/>
          <w:lang w:val="en-GB"/>
        </w:rPr>
        <w:t>s</w:t>
      </w:r>
      <w:r w:rsidRPr="00F0716B">
        <w:rPr>
          <w:sz w:val="22"/>
          <w:szCs w:val="22"/>
          <w:lang w:val="en-GB"/>
        </w:rPr>
        <w:t xml:space="preserve"> that they were hungry</w:t>
      </w:r>
      <w:r w:rsidR="004C305B" w:rsidRPr="00F0716B">
        <w:rPr>
          <w:sz w:val="22"/>
          <w:szCs w:val="22"/>
          <w:lang w:val="en-GB"/>
        </w:rPr>
        <w:t xml:space="preserve"> </w:t>
      </w:r>
      <w:r w:rsidRPr="00F0716B">
        <w:rPr>
          <w:sz w:val="22"/>
          <w:szCs w:val="22"/>
          <w:lang w:val="en-GB"/>
        </w:rPr>
        <w:t xml:space="preserve">during the study. </w:t>
      </w:r>
      <w:r w:rsidR="001964B2" w:rsidRPr="00F0716B">
        <w:rPr>
          <w:sz w:val="22"/>
          <w:szCs w:val="22"/>
          <w:lang w:val="en-GB"/>
        </w:rPr>
        <w:t>E</w:t>
      </w:r>
      <w:r w:rsidRPr="00F0716B">
        <w:rPr>
          <w:sz w:val="22"/>
          <w:szCs w:val="22"/>
          <w:lang w:val="en-GB"/>
        </w:rPr>
        <w:t xml:space="preserve">ven a larger share </w:t>
      </w:r>
      <w:r w:rsidR="00E142F9" w:rsidRPr="00F0716B">
        <w:rPr>
          <w:sz w:val="22"/>
          <w:szCs w:val="22"/>
          <w:lang w:val="en-GB"/>
        </w:rPr>
        <w:t>(</w:t>
      </w:r>
      <w:r w:rsidR="004C305B" w:rsidRPr="00F0716B">
        <w:rPr>
          <w:sz w:val="22"/>
          <w:szCs w:val="22"/>
          <w:lang w:val="en-GB"/>
        </w:rPr>
        <w:t>3</w:t>
      </w:r>
      <w:r w:rsidRPr="00F0716B">
        <w:rPr>
          <w:sz w:val="22"/>
          <w:szCs w:val="22"/>
          <w:lang w:val="en-GB"/>
        </w:rPr>
        <w:t xml:space="preserve">3% </w:t>
      </w:r>
      <w:r w:rsidR="00840453">
        <w:rPr>
          <w:sz w:val="22"/>
          <w:szCs w:val="22"/>
          <w:lang w:val="en-GB"/>
        </w:rPr>
        <w:t xml:space="preserve">of </w:t>
      </w:r>
      <w:r w:rsidR="001964B2" w:rsidRPr="00F0716B">
        <w:rPr>
          <w:sz w:val="22"/>
          <w:szCs w:val="22"/>
          <w:lang w:val="en-GB"/>
        </w:rPr>
        <w:t>students</w:t>
      </w:r>
      <w:r w:rsidR="00E142F9" w:rsidRPr="00F0716B">
        <w:rPr>
          <w:sz w:val="22"/>
          <w:szCs w:val="22"/>
          <w:lang w:val="en-GB"/>
        </w:rPr>
        <w:t>)</w:t>
      </w:r>
      <w:r w:rsidR="001964B2" w:rsidRPr="00F0716B">
        <w:rPr>
          <w:sz w:val="22"/>
          <w:szCs w:val="22"/>
          <w:lang w:val="en-GB"/>
        </w:rPr>
        <w:t xml:space="preserve"> indicated that they </w:t>
      </w:r>
      <w:r w:rsidRPr="00F0716B">
        <w:rPr>
          <w:sz w:val="22"/>
          <w:szCs w:val="22"/>
          <w:lang w:val="en-GB"/>
        </w:rPr>
        <w:t xml:space="preserve">were </w:t>
      </w:r>
      <w:r w:rsidR="004C305B" w:rsidRPr="00F0716B">
        <w:rPr>
          <w:sz w:val="22"/>
          <w:szCs w:val="22"/>
          <w:lang w:val="en-GB"/>
        </w:rPr>
        <w:t>thirsty</w:t>
      </w:r>
      <w:r w:rsidR="001964B2" w:rsidRPr="00F0716B">
        <w:rPr>
          <w:sz w:val="22"/>
          <w:szCs w:val="22"/>
          <w:lang w:val="en-GB"/>
        </w:rPr>
        <w:t xml:space="preserve"> at the time of measurement</w:t>
      </w:r>
      <w:r w:rsidR="004C305B" w:rsidRPr="00F0716B">
        <w:rPr>
          <w:sz w:val="22"/>
          <w:szCs w:val="22"/>
          <w:lang w:val="en-GB"/>
        </w:rPr>
        <w:t xml:space="preserve">, which </w:t>
      </w:r>
      <w:r w:rsidR="001964B2" w:rsidRPr="00F0716B">
        <w:rPr>
          <w:sz w:val="22"/>
          <w:szCs w:val="22"/>
          <w:lang w:val="en-GB"/>
        </w:rPr>
        <w:t>might be</w:t>
      </w:r>
      <w:r w:rsidR="004C305B" w:rsidRPr="00F0716B">
        <w:rPr>
          <w:sz w:val="22"/>
          <w:szCs w:val="22"/>
          <w:lang w:val="en-GB"/>
        </w:rPr>
        <w:t xml:space="preserve"> understandable </w:t>
      </w:r>
      <w:r w:rsidR="00840453">
        <w:rPr>
          <w:sz w:val="22"/>
          <w:szCs w:val="22"/>
          <w:lang w:val="en-GB"/>
        </w:rPr>
        <w:t>in</w:t>
      </w:r>
      <w:r w:rsidR="004C305B" w:rsidRPr="00F0716B">
        <w:rPr>
          <w:sz w:val="22"/>
          <w:szCs w:val="22"/>
          <w:lang w:val="en-GB"/>
        </w:rPr>
        <w:t xml:space="preserve"> such high temperature environment. These factors</w:t>
      </w:r>
      <w:r w:rsidRPr="00F0716B">
        <w:rPr>
          <w:sz w:val="22"/>
          <w:szCs w:val="22"/>
          <w:lang w:val="en-GB"/>
        </w:rPr>
        <w:t xml:space="preserve"> </w:t>
      </w:r>
      <w:r w:rsidR="004C305B" w:rsidRPr="00F0716B">
        <w:rPr>
          <w:sz w:val="22"/>
          <w:szCs w:val="22"/>
          <w:lang w:val="en-GB"/>
        </w:rPr>
        <w:t xml:space="preserve">could also have </w:t>
      </w:r>
      <w:r w:rsidR="00E142F9" w:rsidRPr="00F0716B">
        <w:rPr>
          <w:sz w:val="22"/>
          <w:szCs w:val="22"/>
          <w:lang w:val="en-GB"/>
        </w:rPr>
        <w:t xml:space="preserve">had </w:t>
      </w:r>
      <w:r w:rsidR="004C305B" w:rsidRPr="00F0716B">
        <w:rPr>
          <w:sz w:val="22"/>
          <w:szCs w:val="22"/>
          <w:lang w:val="en-GB"/>
        </w:rPr>
        <w:t xml:space="preserve">some influence on the obtained results. </w:t>
      </w:r>
    </w:p>
    <w:p w14:paraId="56308EC6" w14:textId="77777777" w:rsidR="00A31A64" w:rsidRPr="00F0716B" w:rsidRDefault="00A31A64" w:rsidP="00D1381B">
      <w:pPr>
        <w:ind w:firstLine="284"/>
        <w:jc w:val="both"/>
        <w:rPr>
          <w:sz w:val="22"/>
          <w:szCs w:val="22"/>
          <w:lang w:val="en-GB"/>
        </w:rPr>
      </w:pPr>
      <w:r w:rsidRPr="00F0716B">
        <w:rPr>
          <w:sz w:val="22"/>
          <w:szCs w:val="22"/>
          <w:lang w:val="en-GB"/>
        </w:rPr>
        <w:t xml:space="preserve">The </w:t>
      </w:r>
      <w:r w:rsidR="00840453">
        <w:rPr>
          <w:sz w:val="22"/>
          <w:szCs w:val="22"/>
          <w:lang w:val="en-GB"/>
        </w:rPr>
        <w:t>thermal environment largely determines the well-being of room users</w:t>
      </w:r>
      <w:r w:rsidRPr="00F0716B">
        <w:rPr>
          <w:sz w:val="22"/>
          <w:szCs w:val="22"/>
          <w:lang w:val="en-GB"/>
        </w:rPr>
        <w:t xml:space="preserve">. Thus, maintaining thermal comfort conditions for all the people indoors is crucial. The common way to analyse this phenomenon is the </w:t>
      </w:r>
      <w:r w:rsidR="003E4624" w:rsidRPr="00F0716B">
        <w:rPr>
          <w:sz w:val="22"/>
          <w:szCs w:val="22"/>
          <w:lang w:val="en-GB"/>
        </w:rPr>
        <w:t xml:space="preserve">experimental </w:t>
      </w:r>
      <w:r w:rsidRPr="00F0716B">
        <w:rPr>
          <w:sz w:val="22"/>
          <w:szCs w:val="22"/>
          <w:lang w:val="en-GB"/>
        </w:rPr>
        <w:t xml:space="preserve">questionnaire survey, which enables </w:t>
      </w:r>
      <w:r w:rsidR="00840453">
        <w:rPr>
          <w:sz w:val="22"/>
          <w:szCs w:val="22"/>
          <w:lang w:val="en-GB"/>
        </w:rPr>
        <w:t xml:space="preserve">us </w:t>
      </w:r>
      <w:r w:rsidRPr="00F0716B">
        <w:rPr>
          <w:sz w:val="22"/>
          <w:szCs w:val="22"/>
          <w:lang w:val="en-GB"/>
        </w:rPr>
        <w:t xml:space="preserve">to obtain actual human responses. However, equally important is </w:t>
      </w:r>
      <w:r w:rsidR="00840453">
        <w:rPr>
          <w:sz w:val="22"/>
          <w:szCs w:val="22"/>
          <w:lang w:val="en-GB"/>
        </w:rPr>
        <w:t xml:space="preserve">the </w:t>
      </w:r>
      <w:r w:rsidRPr="00F0716B">
        <w:rPr>
          <w:sz w:val="22"/>
          <w:szCs w:val="22"/>
          <w:lang w:val="en-GB"/>
        </w:rPr>
        <w:t xml:space="preserve">proper determination of thermal comfort based on the indoor air parameters. In this way, </w:t>
      </w:r>
      <w:r w:rsidR="00840453">
        <w:rPr>
          <w:sz w:val="22"/>
          <w:szCs w:val="22"/>
          <w:lang w:val="en-GB"/>
        </w:rPr>
        <w:t xml:space="preserve">the </w:t>
      </w:r>
      <w:r w:rsidRPr="00F0716B">
        <w:rPr>
          <w:sz w:val="22"/>
          <w:szCs w:val="22"/>
          <w:lang w:val="en-GB"/>
        </w:rPr>
        <w:t>thermal responses of room users can be predicted even before the building is built. They can also be used when the building is finished and operational – for proper setting</w:t>
      </w:r>
      <w:r w:rsidR="00E142F9" w:rsidRPr="00F0716B">
        <w:rPr>
          <w:sz w:val="22"/>
          <w:szCs w:val="22"/>
          <w:lang w:val="en-GB"/>
        </w:rPr>
        <w:t>s</w:t>
      </w:r>
      <w:r w:rsidRPr="00F0716B">
        <w:rPr>
          <w:sz w:val="22"/>
          <w:szCs w:val="22"/>
          <w:lang w:val="en-GB"/>
        </w:rPr>
        <w:t xml:space="preserve"> of indoor air parameters (mostly air temperature) in order to provide adequate conditions</w:t>
      </w:r>
      <w:r w:rsidR="003E4624" w:rsidRPr="00F0716B">
        <w:rPr>
          <w:sz w:val="22"/>
          <w:szCs w:val="22"/>
          <w:lang w:val="en-GB"/>
        </w:rPr>
        <w:t xml:space="preserve"> there for all the people</w:t>
      </w:r>
      <w:r w:rsidRPr="00F0716B">
        <w:rPr>
          <w:sz w:val="22"/>
          <w:szCs w:val="22"/>
          <w:lang w:val="en-GB"/>
        </w:rPr>
        <w:t>.</w:t>
      </w:r>
      <w:r w:rsidR="003E4624" w:rsidRPr="00F0716B">
        <w:rPr>
          <w:sz w:val="22"/>
          <w:szCs w:val="22"/>
          <w:lang w:val="en-GB"/>
        </w:rPr>
        <w:t xml:space="preserve"> </w:t>
      </w:r>
      <w:r w:rsidR="00473FE0" w:rsidRPr="00F0716B">
        <w:rPr>
          <w:sz w:val="22"/>
          <w:szCs w:val="22"/>
          <w:lang w:val="en-GB"/>
        </w:rPr>
        <w:t xml:space="preserve">The </w:t>
      </w:r>
      <w:r w:rsidR="00840453">
        <w:rPr>
          <w:sz w:val="22"/>
          <w:szCs w:val="22"/>
          <w:lang w:val="en-GB"/>
        </w:rPr>
        <w:t>thermal comfort assessmen</w:t>
      </w:r>
      <w:r w:rsidR="00473FE0" w:rsidRPr="00F0716B">
        <w:rPr>
          <w:sz w:val="22"/>
          <w:szCs w:val="22"/>
          <w:lang w:val="en-GB"/>
        </w:rPr>
        <w:t>t is carried out according to the methodology presented in the international standard (ISO Standard 7730 2005)</w:t>
      </w:r>
      <w:r w:rsidR="00D65A1B" w:rsidRPr="00F0716B">
        <w:rPr>
          <w:sz w:val="22"/>
          <w:szCs w:val="22"/>
          <w:lang w:val="en-GB"/>
        </w:rPr>
        <w:t xml:space="preserve">, which originated from the works of </w:t>
      </w:r>
      <w:proofErr w:type="spellStart"/>
      <w:r w:rsidR="00D65A1B" w:rsidRPr="00F0716B">
        <w:rPr>
          <w:sz w:val="22"/>
          <w:szCs w:val="22"/>
          <w:lang w:val="en-GB"/>
        </w:rPr>
        <w:t>O.Fanger</w:t>
      </w:r>
      <w:proofErr w:type="spellEnd"/>
      <w:r w:rsidR="00D65A1B" w:rsidRPr="00F0716B">
        <w:rPr>
          <w:sz w:val="22"/>
          <w:szCs w:val="22"/>
          <w:lang w:val="en-GB"/>
        </w:rPr>
        <w:t xml:space="preserve"> from the 60s</w:t>
      </w:r>
      <w:r w:rsidR="00E142F9" w:rsidRPr="00F0716B">
        <w:rPr>
          <w:sz w:val="22"/>
          <w:szCs w:val="22"/>
          <w:lang w:val="en-GB"/>
        </w:rPr>
        <w:t xml:space="preserve"> and 70s</w:t>
      </w:r>
      <w:r w:rsidR="00D65A1B" w:rsidRPr="00F0716B">
        <w:rPr>
          <w:sz w:val="22"/>
          <w:szCs w:val="22"/>
          <w:lang w:val="en-GB"/>
        </w:rPr>
        <w:t xml:space="preserve"> </w:t>
      </w:r>
      <w:r w:rsidR="00E142F9" w:rsidRPr="00F0716B">
        <w:rPr>
          <w:sz w:val="22"/>
          <w:szCs w:val="22"/>
          <w:lang w:val="en-GB"/>
        </w:rPr>
        <w:t>(</w:t>
      </w:r>
      <w:proofErr w:type="spellStart"/>
      <w:r w:rsidR="00E142F9" w:rsidRPr="00F0716B">
        <w:rPr>
          <w:sz w:val="22"/>
          <w:szCs w:val="22"/>
          <w:lang w:val="en-GB"/>
        </w:rPr>
        <w:t>Fanger</w:t>
      </w:r>
      <w:proofErr w:type="spellEnd"/>
      <w:r w:rsidR="00E142F9" w:rsidRPr="00F0716B">
        <w:rPr>
          <w:sz w:val="22"/>
          <w:szCs w:val="22"/>
          <w:lang w:val="en-GB"/>
        </w:rPr>
        <w:t xml:space="preserve"> 1974) </w:t>
      </w:r>
      <w:r w:rsidR="00D65A1B" w:rsidRPr="00F0716B">
        <w:rPr>
          <w:sz w:val="22"/>
          <w:szCs w:val="22"/>
          <w:lang w:val="en-GB"/>
        </w:rPr>
        <w:t xml:space="preserve">and, thus, will </w:t>
      </w:r>
      <w:r w:rsidR="00E142F9" w:rsidRPr="00F0716B">
        <w:rPr>
          <w:sz w:val="22"/>
          <w:szCs w:val="22"/>
          <w:lang w:val="en-GB"/>
        </w:rPr>
        <w:t xml:space="preserve">now </w:t>
      </w:r>
      <w:r w:rsidR="00D65A1B" w:rsidRPr="00F0716B">
        <w:rPr>
          <w:sz w:val="22"/>
          <w:szCs w:val="22"/>
          <w:lang w:val="en-GB"/>
        </w:rPr>
        <w:t xml:space="preserve">be </w:t>
      </w:r>
      <w:r w:rsidR="001964B2" w:rsidRPr="00F0716B">
        <w:rPr>
          <w:sz w:val="22"/>
          <w:szCs w:val="22"/>
          <w:lang w:val="en-GB"/>
        </w:rPr>
        <w:t>validated</w:t>
      </w:r>
      <w:r w:rsidR="00473FE0" w:rsidRPr="00F0716B">
        <w:rPr>
          <w:sz w:val="22"/>
          <w:szCs w:val="22"/>
          <w:lang w:val="en-GB"/>
        </w:rPr>
        <w:t>.</w:t>
      </w:r>
      <w:r w:rsidRPr="00F0716B">
        <w:rPr>
          <w:sz w:val="22"/>
          <w:szCs w:val="22"/>
          <w:lang w:val="en-GB"/>
        </w:rPr>
        <w:t xml:space="preserve"> </w:t>
      </w:r>
      <w:r w:rsidR="00473FE0" w:rsidRPr="00F0716B">
        <w:rPr>
          <w:sz w:val="22"/>
          <w:szCs w:val="22"/>
          <w:lang w:val="en-GB"/>
        </w:rPr>
        <w:t>The equations provided there lead to the calculation of the indices: PMV (predict</w:t>
      </w:r>
      <w:r w:rsidR="00D1381B" w:rsidRPr="00F0716B">
        <w:rPr>
          <w:sz w:val="22"/>
          <w:szCs w:val="22"/>
          <w:lang w:val="en-GB"/>
        </w:rPr>
        <w:t xml:space="preserve">ed mean vote) and PPD (predicted percentage </w:t>
      </w:r>
      <w:r w:rsidR="00473FE0" w:rsidRPr="00F0716B">
        <w:rPr>
          <w:sz w:val="22"/>
          <w:szCs w:val="22"/>
          <w:lang w:val="en-GB"/>
        </w:rPr>
        <w:t xml:space="preserve">dissatisfied). PMV takes values in the range of (-3) to (+3) and relates </w:t>
      </w:r>
      <w:r w:rsidR="00D1381B" w:rsidRPr="00F0716B">
        <w:rPr>
          <w:sz w:val="22"/>
          <w:szCs w:val="22"/>
          <w:lang w:val="en-GB"/>
        </w:rPr>
        <w:t xml:space="preserve">directly </w:t>
      </w:r>
      <w:r w:rsidR="00473FE0" w:rsidRPr="00F0716B">
        <w:rPr>
          <w:sz w:val="22"/>
          <w:szCs w:val="22"/>
          <w:lang w:val="en-GB"/>
        </w:rPr>
        <w:t xml:space="preserve">to </w:t>
      </w:r>
      <w:r w:rsidR="00840453">
        <w:rPr>
          <w:sz w:val="22"/>
          <w:szCs w:val="22"/>
          <w:lang w:val="en-GB"/>
        </w:rPr>
        <w:t xml:space="preserve">the </w:t>
      </w:r>
      <w:r w:rsidR="00473FE0" w:rsidRPr="00F0716B">
        <w:rPr>
          <w:sz w:val="22"/>
          <w:szCs w:val="22"/>
          <w:lang w:val="en-GB"/>
        </w:rPr>
        <w:t xml:space="preserve">thermal sensation vote (TSV) described earlier, with (-3) meaning </w:t>
      </w:r>
      <w:r w:rsidR="00680C40">
        <w:rPr>
          <w:sz w:val="22"/>
          <w:szCs w:val="22"/>
          <w:lang w:val="en-GB"/>
        </w:rPr>
        <w:t>"</w:t>
      </w:r>
      <w:r w:rsidR="00473FE0" w:rsidRPr="00F0716B">
        <w:rPr>
          <w:sz w:val="22"/>
          <w:szCs w:val="22"/>
          <w:lang w:val="en-GB"/>
        </w:rPr>
        <w:t>too cold</w:t>
      </w:r>
      <w:r w:rsidR="00680C40">
        <w:rPr>
          <w:sz w:val="22"/>
          <w:szCs w:val="22"/>
          <w:lang w:val="en-GB"/>
        </w:rPr>
        <w:t>"</w:t>
      </w:r>
      <w:r w:rsidR="00473FE0" w:rsidRPr="00F0716B">
        <w:rPr>
          <w:sz w:val="22"/>
          <w:szCs w:val="22"/>
          <w:lang w:val="en-GB"/>
        </w:rPr>
        <w:t xml:space="preserve"> and (+3) </w:t>
      </w:r>
      <w:r w:rsidR="00680C40">
        <w:rPr>
          <w:sz w:val="22"/>
          <w:szCs w:val="22"/>
          <w:lang w:val="en-GB"/>
        </w:rPr>
        <w:t>"</w:t>
      </w:r>
      <w:r w:rsidR="00473FE0" w:rsidRPr="00F0716B">
        <w:rPr>
          <w:sz w:val="22"/>
          <w:szCs w:val="22"/>
          <w:lang w:val="en-GB"/>
        </w:rPr>
        <w:t>too hot</w:t>
      </w:r>
      <w:r w:rsidR="00680C40">
        <w:rPr>
          <w:sz w:val="22"/>
          <w:szCs w:val="22"/>
          <w:lang w:val="en-GB"/>
        </w:rPr>
        <w:t>"</w:t>
      </w:r>
      <w:r w:rsidR="00473FE0" w:rsidRPr="00F0716B">
        <w:rPr>
          <w:sz w:val="22"/>
          <w:szCs w:val="22"/>
          <w:lang w:val="en-GB"/>
        </w:rPr>
        <w:t xml:space="preserve">, </w:t>
      </w:r>
      <w:r w:rsidR="00473FE0" w:rsidRPr="00F0716B">
        <w:rPr>
          <w:sz w:val="22"/>
          <w:szCs w:val="22"/>
          <w:lang w:val="en-GB"/>
        </w:rPr>
        <w:lastRenderedPageBreak/>
        <w:t xml:space="preserve">while (0) is the neutral and most favourable </w:t>
      </w:r>
      <w:r w:rsidR="007A00C7" w:rsidRPr="00F0716B">
        <w:rPr>
          <w:sz w:val="22"/>
          <w:szCs w:val="22"/>
          <w:lang w:val="en-GB"/>
        </w:rPr>
        <w:t xml:space="preserve">thermal </w:t>
      </w:r>
      <w:r w:rsidR="00473FE0" w:rsidRPr="00F0716B">
        <w:rPr>
          <w:sz w:val="22"/>
          <w:szCs w:val="22"/>
          <w:lang w:val="en-GB"/>
        </w:rPr>
        <w:t>state.</w:t>
      </w:r>
      <w:r w:rsidR="007A00C7" w:rsidRPr="00F0716B">
        <w:rPr>
          <w:sz w:val="22"/>
          <w:szCs w:val="22"/>
          <w:lang w:val="en-GB"/>
        </w:rPr>
        <w:t xml:space="preserve"> PPD predicts a share of room users </w:t>
      </w:r>
      <w:r w:rsidR="00840453">
        <w:rPr>
          <w:sz w:val="22"/>
          <w:szCs w:val="22"/>
          <w:lang w:val="en-GB"/>
        </w:rPr>
        <w:t>dissatisfied with their</w:t>
      </w:r>
      <w:r w:rsidR="007A00C7" w:rsidRPr="00F0716B">
        <w:rPr>
          <w:sz w:val="22"/>
          <w:szCs w:val="22"/>
          <w:lang w:val="en-GB"/>
        </w:rPr>
        <w:t xml:space="preserve"> indoor environment. It relates to the questionnaire survey in such a way that it is a</w:t>
      </w:r>
      <w:r w:rsidR="00C1031F">
        <w:rPr>
          <w:sz w:val="22"/>
          <w:szCs w:val="22"/>
          <w:lang w:val="en-GB"/>
        </w:rPr>
        <w:t> </w:t>
      </w:r>
      <w:r w:rsidR="007A00C7" w:rsidRPr="00F0716B">
        <w:rPr>
          <w:sz w:val="22"/>
          <w:szCs w:val="22"/>
          <w:lang w:val="en-GB"/>
        </w:rPr>
        <w:t xml:space="preserve">share of the respondents who marked (-3), (-2), (+2) </w:t>
      </w:r>
      <w:r w:rsidR="00D1381B" w:rsidRPr="00F0716B">
        <w:rPr>
          <w:sz w:val="22"/>
          <w:szCs w:val="22"/>
          <w:lang w:val="en-GB"/>
        </w:rPr>
        <w:t>or</w:t>
      </w:r>
      <w:r w:rsidR="007A00C7" w:rsidRPr="00F0716B">
        <w:rPr>
          <w:sz w:val="22"/>
          <w:szCs w:val="22"/>
          <w:lang w:val="en-GB"/>
        </w:rPr>
        <w:t xml:space="preserve"> (+3) when assessing their thermal sensation. Below</w:t>
      </w:r>
      <w:r w:rsidR="00840453">
        <w:rPr>
          <w:sz w:val="22"/>
          <w:szCs w:val="22"/>
          <w:lang w:val="en-GB"/>
        </w:rPr>
        <w:t>,</w:t>
      </w:r>
      <w:r w:rsidR="007A00C7" w:rsidRPr="00F0716B">
        <w:rPr>
          <w:sz w:val="22"/>
          <w:szCs w:val="22"/>
          <w:lang w:val="en-GB"/>
        </w:rPr>
        <w:t xml:space="preserve"> a comparison of the experimental results (based on the collected questionnaires) and the calculation results according to the methodology (ISO Standard 7730 2005) has been presented in Figure</w:t>
      </w:r>
      <w:r w:rsidR="006A2D7F" w:rsidRPr="00F0716B">
        <w:rPr>
          <w:sz w:val="22"/>
          <w:szCs w:val="22"/>
          <w:lang w:val="en-GB"/>
        </w:rPr>
        <w:t>s</w:t>
      </w:r>
      <w:r w:rsidR="007A00C7" w:rsidRPr="00F0716B">
        <w:rPr>
          <w:sz w:val="22"/>
          <w:szCs w:val="22"/>
          <w:lang w:val="en-GB"/>
        </w:rPr>
        <w:t xml:space="preserve"> </w:t>
      </w:r>
      <w:r w:rsidR="00751A0E">
        <w:rPr>
          <w:sz w:val="22"/>
          <w:szCs w:val="22"/>
          <w:lang w:val="en-GB"/>
        </w:rPr>
        <w:t>8</w:t>
      </w:r>
      <w:r w:rsidR="007A00C7" w:rsidRPr="00F0716B">
        <w:rPr>
          <w:sz w:val="22"/>
          <w:szCs w:val="22"/>
          <w:lang w:val="en-GB"/>
        </w:rPr>
        <w:t xml:space="preserve"> </w:t>
      </w:r>
      <w:r w:rsidR="006A2D7F" w:rsidRPr="00F0716B">
        <w:rPr>
          <w:sz w:val="22"/>
          <w:szCs w:val="22"/>
          <w:lang w:val="en-GB"/>
        </w:rPr>
        <w:t xml:space="preserve">and </w:t>
      </w:r>
      <w:r w:rsidR="00751A0E">
        <w:rPr>
          <w:sz w:val="22"/>
          <w:szCs w:val="22"/>
          <w:lang w:val="en-GB"/>
        </w:rPr>
        <w:t>9</w:t>
      </w:r>
      <w:r w:rsidR="007A00C7" w:rsidRPr="00F0716B">
        <w:rPr>
          <w:sz w:val="22"/>
          <w:szCs w:val="22"/>
          <w:lang w:val="en-GB"/>
        </w:rPr>
        <w:t xml:space="preserve">. </w:t>
      </w:r>
    </w:p>
    <w:p w14:paraId="1FE21B52" w14:textId="77777777" w:rsidR="006A29E0" w:rsidRPr="00F0716B" w:rsidRDefault="006A29E0" w:rsidP="007A00C7">
      <w:pPr>
        <w:jc w:val="both"/>
        <w:rPr>
          <w:sz w:val="22"/>
          <w:szCs w:val="22"/>
          <w:lang w:val="en-GB"/>
        </w:rPr>
      </w:pPr>
    </w:p>
    <w:p w14:paraId="403EE704" w14:textId="39B25E3C" w:rsidR="004E7475" w:rsidRPr="00F0716B" w:rsidRDefault="00CD5251" w:rsidP="006A29E0">
      <w:pPr>
        <w:spacing w:after="120"/>
        <w:jc w:val="center"/>
        <w:rPr>
          <w:lang w:val="en-GB"/>
        </w:rPr>
      </w:pPr>
      <w:r>
        <w:pict w14:anchorId="551455FF">
          <v:shape id="_x0000_i1051" type="#_x0000_t75" style="width:221pt;height:186pt">
            <v:imagedata r:id="rId15" o:title="Krawczyk et al - Fig 8" croptop="4013f" cropbottom="2408f" cropleft="3347f" cropright="3347f"/>
          </v:shape>
        </w:pict>
      </w:r>
    </w:p>
    <w:p w14:paraId="48315035" w14:textId="77777777" w:rsidR="004E7475" w:rsidRPr="00F0716B" w:rsidRDefault="004E7475" w:rsidP="008675B5">
      <w:pPr>
        <w:pStyle w:val="Rrys"/>
        <w:rPr>
          <w:lang w:val="en-GB"/>
        </w:rPr>
      </w:pPr>
      <w:r w:rsidRPr="00F0716B">
        <w:rPr>
          <w:b/>
          <w:bCs/>
          <w:lang w:val="en-GB"/>
        </w:rPr>
        <w:t xml:space="preserve">Fig. </w:t>
      </w:r>
      <w:r w:rsidR="0092189A" w:rsidRPr="00F0716B">
        <w:rPr>
          <w:b/>
          <w:bCs/>
          <w:lang w:val="en-GB"/>
        </w:rPr>
        <w:t>8</w:t>
      </w:r>
      <w:r w:rsidRPr="00F0716B">
        <w:rPr>
          <w:rStyle w:val="RrysZnak"/>
          <w:b/>
          <w:bCs/>
          <w:lang w:val="en-GB"/>
        </w:rPr>
        <w:t>.</w:t>
      </w:r>
      <w:r w:rsidRPr="00F0716B">
        <w:rPr>
          <w:lang w:val="en-GB"/>
        </w:rPr>
        <w:t xml:space="preserve"> </w:t>
      </w:r>
      <w:r w:rsidR="00B7427D" w:rsidRPr="00F0716B">
        <w:rPr>
          <w:lang w:val="en-GB"/>
        </w:rPr>
        <w:t>Comparison of t</w:t>
      </w:r>
      <w:r w:rsidR="00CB719F" w:rsidRPr="00F0716B">
        <w:rPr>
          <w:lang w:val="en-GB"/>
        </w:rPr>
        <w:t xml:space="preserve">hermal sensation vote </w:t>
      </w:r>
      <w:r w:rsidR="00B7427D" w:rsidRPr="00F0716B">
        <w:rPr>
          <w:lang w:val="en-GB"/>
        </w:rPr>
        <w:t>(TSV) and predicted mean vote (PMV)</w:t>
      </w:r>
    </w:p>
    <w:p w14:paraId="26DECD3C" w14:textId="77777777" w:rsidR="008675B5" w:rsidRPr="00F0716B" w:rsidRDefault="008675B5" w:rsidP="00E52D38">
      <w:pPr>
        <w:ind w:firstLine="284"/>
        <w:jc w:val="both"/>
        <w:rPr>
          <w:sz w:val="22"/>
          <w:szCs w:val="22"/>
          <w:lang w:val="en-GB"/>
        </w:rPr>
      </w:pPr>
    </w:p>
    <w:p w14:paraId="4C743151" w14:textId="77777777" w:rsidR="002E74A6" w:rsidRPr="00F0716B" w:rsidRDefault="00B7427D" w:rsidP="00E52D38">
      <w:pPr>
        <w:ind w:firstLine="284"/>
        <w:jc w:val="both"/>
        <w:rPr>
          <w:sz w:val="22"/>
          <w:szCs w:val="22"/>
          <w:lang w:val="en-GB"/>
        </w:rPr>
      </w:pPr>
      <w:r w:rsidRPr="00F0716B">
        <w:rPr>
          <w:sz w:val="22"/>
          <w:szCs w:val="22"/>
          <w:lang w:val="en-GB"/>
        </w:rPr>
        <w:t>The mean value of thermal sensation vote according to 69 questionnaires was: TSV(exp) = -0.15, while the calculation results carried ou</w:t>
      </w:r>
      <w:r w:rsidR="00840453">
        <w:rPr>
          <w:sz w:val="22"/>
          <w:szCs w:val="22"/>
          <w:lang w:val="en-GB"/>
        </w:rPr>
        <w:t>t</w:t>
      </w:r>
      <w:r w:rsidRPr="00F0716B">
        <w:rPr>
          <w:sz w:val="22"/>
          <w:szCs w:val="22"/>
          <w:lang w:val="en-GB"/>
        </w:rPr>
        <w:t xml:space="preserve"> with the </w:t>
      </w:r>
      <w:proofErr w:type="spellStart"/>
      <w:r w:rsidRPr="00F0716B">
        <w:rPr>
          <w:sz w:val="22"/>
          <w:szCs w:val="22"/>
          <w:lang w:val="en-GB"/>
        </w:rPr>
        <w:t>Fanger</w:t>
      </w:r>
      <w:proofErr w:type="spellEnd"/>
      <w:r w:rsidRPr="00F0716B">
        <w:rPr>
          <w:sz w:val="22"/>
          <w:szCs w:val="22"/>
          <w:lang w:val="en-GB"/>
        </w:rPr>
        <w:t xml:space="preserve"> model (based on the indoor air parameters </w:t>
      </w:r>
      <w:r w:rsidR="009D5555" w:rsidRPr="00F0716B">
        <w:rPr>
          <w:sz w:val="22"/>
          <w:szCs w:val="22"/>
          <w:lang w:val="en-GB"/>
        </w:rPr>
        <w:t xml:space="preserve">recorded with the microclimate meter </w:t>
      </w:r>
      <w:r w:rsidRPr="00F0716B">
        <w:rPr>
          <w:sz w:val="22"/>
          <w:szCs w:val="22"/>
          <w:lang w:val="en-GB"/>
        </w:rPr>
        <w:t>as well as clothing thermal resistance and activity level of the students) amounted to PMV(calc) = 0.42</w:t>
      </w:r>
      <w:r w:rsidR="002E74A6" w:rsidRPr="00F0716B">
        <w:rPr>
          <w:sz w:val="22"/>
          <w:szCs w:val="22"/>
          <w:lang w:val="en-GB"/>
        </w:rPr>
        <w:t>.</w:t>
      </w:r>
      <w:r w:rsidRPr="00F0716B">
        <w:rPr>
          <w:sz w:val="22"/>
          <w:szCs w:val="22"/>
          <w:lang w:val="en-GB"/>
        </w:rPr>
        <w:t xml:space="preserve"> The difference between these two values is 0.57</w:t>
      </w:r>
      <w:r w:rsidR="00840453">
        <w:rPr>
          <w:sz w:val="22"/>
          <w:szCs w:val="22"/>
          <w:lang w:val="en-GB"/>
        </w:rPr>
        <w:t>;</w:t>
      </w:r>
      <w:r w:rsidRPr="00F0716B">
        <w:rPr>
          <w:sz w:val="22"/>
          <w:szCs w:val="22"/>
          <w:lang w:val="en-GB"/>
        </w:rPr>
        <w:t xml:space="preserve"> however</w:t>
      </w:r>
      <w:r w:rsidR="00840453">
        <w:rPr>
          <w:sz w:val="22"/>
          <w:szCs w:val="22"/>
          <w:lang w:val="en-GB"/>
        </w:rPr>
        <w:t>,</w:t>
      </w:r>
      <w:r w:rsidRPr="00F0716B">
        <w:rPr>
          <w:sz w:val="22"/>
          <w:szCs w:val="22"/>
          <w:lang w:val="en-GB"/>
        </w:rPr>
        <w:t xml:space="preserve"> they both fall into the favourable and acceptable range of</w:t>
      </w:r>
      <w:r w:rsidR="00552FD6" w:rsidRPr="00F0716B">
        <w:rPr>
          <w:sz w:val="22"/>
          <w:szCs w:val="22"/>
          <w:lang w:val="en-GB"/>
        </w:rPr>
        <w:t xml:space="preserve"> thermal sensations of </w:t>
      </w:r>
      <w:r w:rsidR="00552FD6" w:rsidRPr="00F0716B">
        <w:rPr>
          <w:sz w:val="22"/>
          <w:szCs w:val="22"/>
          <w:lang w:val="en-GB"/>
        </w:rPr>
        <w:sym w:font="Symbol" w:char="F0B1"/>
      </w:r>
      <w:r w:rsidR="00552FD6" w:rsidRPr="00F0716B">
        <w:rPr>
          <w:sz w:val="22"/>
          <w:szCs w:val="22"/>
          <w:lang w:val="en-GB"/>
        </w:rPr>
        <w:t>0.5</w:t>
      </w:r>
      <w:r w:rsidR="00D1381B" w:rsidRPr="00F0716B">
        <w:rPr>
          <w:sz w:val="22"/>
          <w:szCs w:val="22"/>
          <w:lang w:val="en-GB"/>
        </w:rPr>
        <w:t xml:space="preserve"> </w:t>
      </w:r>
      <w:r w:rsidR="009D5555" w:rsidRPr="00F0716B">
        <w:rPr>
          <w:sz w:val="22"/>
          <w:szCs w:val="22"/>
          <w:lang w:val="en-GB"/>
        </w:rPr>
        <w:t>according to (ISO Standard 7730</w:t>
      </w:r>
      <w:r w:rsidR="00D1381B" w:rsidRPr="00F0716B">
        <w:rPr>
          <w:sz w:val="22"/>
          <w:szCs w:val="22"/>
          <w:lang w:val="en-GB"/>
        </w:rPr>
        <w:t xml:space="preserve"> 2005</w:t>
      </w:r>
      <w:r w:rsidR="00552FD6" w:rsidRPr="00F0716B">
        <w:rPr>
          <w:sz w:val="22"/>
          <w:szCs w:val="22"/>
          <w:lang w:val="en-GB"/>
        </w:rPr>
        <w:t xml:space="preserve">. </w:t>
      </w:r>
      <w:r w:rsidR="009D5555" w:rsidRPr="00F0716B">
        <w:rPr>
          <w:sz w:val="22"/>
          <w:szCs w:val="22"/>
          <w:lang w:val="en-GB"/>
        </w:rPr>
        <w:t xml:space="preserve">Because TSV and PMV take the values from -3 to +3, </w:t>
      </w:r>
      <w:r w:rsidR="00552FD6" w:rsidRPr="00F0716B">
        <w:rPr>
          <w:sz w:val="22"/>
          <w:szCs w:val="22"/>
          <w:lang w:val="en-GB"/>
        </w:rPr>
        <w:t xml:space="preserve">the discrepancy between the model and the experimental results is not </w:t>
      </w:r>
      <w:r w:rsidR="009D5555" w:rsidRPr="00F0716B">
        <w:rPr>
          <w:sz w:val="22"/>
          <w:szCs w:val="22"/>
          <w:lang w:val="en-GB"/>
        </w:rPr>
        <w:t>very large</w:t>
      </w:r>
      <w:r w:rsidR="00840453">
        <w:rPr>
          <w:sz w:val="22"/>
          <w:szCs w:val="22"/>
          <w:lang w:val="en-GB"/>
        </w:rPr>
        <w:t>;</w:t>
      </w:r>
      <w:r w:rsidR="009D5555" w:rsidRPr="00F0716B">
        <w:rPr>
          <w:sz w:val="22"/>
          <w:szCs w:val="22"/>
          <w:lang w:val="en-GB"/>
        </w:rPr>
        <w:t xml:space="preserve"> however</w:t>
      </w:r>
      <w:r w:rsidR="00840453">
        <w:rPr>
          <w:sz w:val="22"/>
          <w:szCs w:val="22"/>
          <w:lang w:val="en-GB"/>
        </w:rPr>
        <w:t>,</w:t>
      </w:r>
      <w:r w:rsidR="009D5555" w:rsidRPr="00F0716B">
        <w:rPr>
          <w:sz w:val="22"/>
          <w:szCs w:val="22"/>
          <w:lang w:val="en-GB"/>
        </w:rPr>
        <w:t xml:space="preserve"> it exists</w:t>
      </w:r>
      <w:r w:rsidR="00840453">
        <w:rPr>
          <w:sz w:val="22"/>
          <w:szCs w:val="22"/>
          <w:lang w:val="en-GB"/>
        </w:rPr>
        <w:t>,</w:t>
      </w:r>
      <w:r w:rsidR="009D5555" w:rsidRPr="00F0716B">
        <w:rPr>
          <w:sz w:val="22"/>
          <w:szCs w:val="22"/>
          <w:lang w:val="en-GB"/>
        </w:rPr>
        <w:t xml:space="preserve"> and the model failed to </w:t>
      </w:r>
      <w:r w:rsidR="00840453">
        <w:rPr>
          <w:sz w:val="22"/>
          <w:szCs w:val="22"/>
          <w:lang w:val="en-GB"/>
        </w:rPr>
        <w:t>determine thermal sensations in the considered lecture room correctly</w:t>
      </w:r>
      <w:r w:rsidR="00552FD6" w:rsidRPr="00F0716B">
        <w:rPr>
          <w:sz w:val="22"/>
          <w:szCs w:val="22"/>
          <w:lang w:val="en-GB"/>
        </w:rPr>
        <w:t>.</w:t>
      </w:r>
      <w:r w:rsidR="007429FE" w:rsidRPr="00F0716B">
        <w:rPr>
          <w:sz w:val="22"/>
          <w:szCs w:val="22"/>
          <w:lang w:val="en-GB"/>
        </w:rPr>
        <w:t xml:space="preserve"> </w:t>
      </w:r>
      <w:r w:rsidR="00E52D38" w:rsidRPr="00F0716B">
        <w:rPr>
          <w:sz w:val="22"/>
          <w:szCs w:val="22"/>
          <w:lang w:val="en-GB"/>
        </w:rPr>
        <w:t>I</w:t>
      </w:r>
      <w:r w:rsidR="00840453">
        <w:rPr>
          <w:sz w:val="22"/>
          <w:szCs w:val="22"/>
          <w:lang w:val="en-GB"/>
        </w:rPr>
        <w:t>t</w:t>
      </w:r>
      <w:r w:rsidR="00E52D38" w:rsidRPr="00F0716B">
        <w:rPr>
          <w:sz w:val="22"/>
          <w:szCs w:val="22"/>
          <w:lang w:val="en-GB"/>
        </w:rPr>
        <w:t xml:space="preserve"> </w:t>
      </w:r>
      <w:r w:rsidR="00840453">
        <w:rPr>
          <w:sz w:val="22"/>
          <w:szCs w:val="22"/>
          <w:lang w:val="en-GB"/>
        </w:rPr>
        <w:t>must</w:t>
      </w:r>
      <w:r w:rsidR="00E52D38" w:rsidRPr="00F0716B">
        <w:rPr>
          <w:sz w:val="22"/>
          <w:szCs w:val="22"/>
          <w:lang w:val="en-GB"/>
        </w:rPr>
        <w:t xml:space="preserve"> be emphasi</w:t>
      </w:r>
      <w:r w:rsidR="00680C40">
        <w:rPr>
          <w:sz w:val="22"/>
          <w:szCs w:val="22"/>
          <w:lang w:val="en-GB"/>
        </w:rPr>
        <w:t>s</w:t>
      </w:r>
      <w:r w:rsidR="00E52D38" w:rsidRPr="00F0716B">
        <w:rPr>
          <w:sz w:val="22"/>
          <w:szCs w:val="22"/>
          <w:lang w:val="en-GB"/>
        </w:rPr>
        <w:t xml:space="preserve">ed that data available in </w:t>
      </w:r>
      <w:r w:rsidR="00840453">
        <w:rPr>
          <w:sz w:val="22"/>
          <w:szCs w:val="22"/>
          <w:lang w:val="en-GB"/>
        </w:rPr>
        <w:t xml:space="preserve">the </w:t>
      </w:r>
      <w:r w:rsidR="00E52D38" w:rsidRPr="00F0716B">
        <w:rPr>
          <w:sz w:val="22"/>
          <w:szCs w:val="22"/>
          <w:lang w:val="en-GB"/>
        </w:rPr>
        <w:t>literature – for example</w:t>
      </w:r>
      <w:r w:rsidR="00840453">
        <w:rPr>
          <w:sz w:val="22"/>
          <w:szCs w:val="22"/>
          <w:lang w:val="en-GB"/>
        </w:rPr>
        <w:t>,</w:t>
      </w:r>
      <w:r w:rsidR="00E52D38" w:rsidRPr="00F0716B">
        <w:rPr>
          <w:sz w:val="22"/>
          <w:szCs w:val="22"/>
          <w:lang w:val="en-GB"/>
        </w:rPr>
        <w:t xml:space="preserve"> the</w:t>
      </w:r>
      <w:r w:rsidR="00751A0E">
        <w:rPr>
          <w:sz w:val="22"/>
          <w:szCs w:val="22"/>
          <w:lang w:val="en-GB"/>
        </w:rPr>
        <w:t> </w:t>
      </w:r>
      <w:r w:rsidR="00E52D38" w:rsidRPr="00F0716B">
        <w:rPr>
          <w:sz w:val="22"/>
          <w:szCs w:val="22"/>
          <w:lang w:val="en-GB"/>
        </w:rPr>
        <w:t>results of the tests performed in India (</w:t>
      </w:r>
      <w:proofErr w:type="spellStart"/>
      <w:r w:rsidR="00E52D38" w:rsidRPr="00F0716B">
        <w:rPr>
          <w:sz w:val="22"/>
          <w:szCs w:val="22"/>
          <w:lang w:val="en-GB"/>
        </w:rPr>
        <w:t>Indraganti</w:t>
      </w:r>
      <w:proofErr w:type="spellEnd"/>
      <w:r w:rsidR="00E52D38" w:rsidRPr="00F0716B">
        <w:rPr>
          <w:sz w:val="22"/>
          <w:szCs w:val="22"/>
          <w:lang w:val="en-GB"/>
        </w:rPr>
        <w:t xml:space="preserve"> et. al 2013, Manu et al. 2016)</w:t>
      </w:r>
      <w:r w:rsidR="00751A0E">
        <w:rPr>
          <w:sz w:val="22"/>
          <w:szCs w:val="22"/>
          <w:lang w:val="en-GB"/>
        </w:rPr>
        <w:t xml:space="preserve"> –</w:t>
      </w:r>
      <w:r w:rsidR="00840453">
        <w:rPr>
          <w:sz w:val="22"/>
          <w:szCs w:val="22"/>
          <w:lang w:val="en-GB"/>
        </w:rPr>
        <w:t xml:space="preserve"> confirm</w:t>
      </w:r>
      <w:r w:rsidR="00E52D38" w:rsidRPr="00F0716B">
        <w:rPr>
          <w:sz w:val="22"/>
          <w:szCs w:val="22"/>
          <w:lang w:val="en-GB"/>
        </w:rPr>
        <w:t xml:space="preserve"> that the model might not properly determine the actual thermal sensations of room users.</w:t>
      </w:r>
    </w:p>
    <w:p w14:paraId="2094C4F2" w14:textId="77777777" w:rsidR="002E74A6" w:rsidRPr="00F0716B" w:rsidRDefault="002E74A6" w:rsidP="002E74A6">
      <w:pPr>
        <w:jc w:val="both"/>
        <w:rPr>
          <w:sz w:val="22"/>
          <w:szCs w:val="22"/>
          <w:lang w:val="en-GB"/>
        </w:rPr>
      </w:pPr>
    </w:p>
    <w:p w14:paraId="06544D90" w14:textId="77777777" w:rsidR="002E74A6" w:rsidRPr="00F0716B" w:rsidRDefault="00000000" w:rsidP="00272368">
      <w:pPr>
        <w:jc w:val="center"/>
        <w:rPr>
          <w:sz w:val="22"/>
          <w:szCs w:val="22"/>
          <w:lang w:val="en-GB"/>
        </w:rPr>
      </w:pPr>
      <w:r>
        <w:rPr>
          <w:sz w:val="22"/>
          <w:szCs w:val="22"/>
          <w:lang w:val="en-GB"/>
        </w:rPr>
        <w:pict w14:anchorId="11C0156F">
          <v:shape id="_x0000_i1033" type="#_x0000_t75" style="width:223.5pt;height:187.5pt">
            <v:imagedata r:id="rId16" o:title="ppd" croptop="3990f" cropbottom="1596f" cropleft="3281f" cropright="3281f"/>
          </v:shape>
        </w:pict>
      </w:r>
    </w:p>
    <w:p w14:paraId="6B303206" w14:textId="77777777" w:rsidR="002E74A6" w:rsidRPr="00F0716B" w:rsidRDefault="002E74A6" w:rsidP="005831FC">
      <w:pPr>
        <w:pStyle w:val="Rrys"/>
        <w:rPr>
          <w:lang w:val="en-GB"/>
        </w:rPr>
      </w:pPr>
      <w:r w:rsidRPr="00F0716B">
        <w:rPr>
          <w:b/>
          <w:bCs/>
          <w:lang w:val="en-GB"/>
        </w:rPr>
        <w:t xml:space="preserve">Fig. </w:t>
      </w:r>
      <w:r w:rsidR="0092189A" w:rsidRPr="00F0716B">
        <w:rPr>
          <w:b/>
          <w:bCs/>
          <w:lang w:val="en-GB"/>
        </w:rPr>
        <w:t>9</w:t>
      </w:r>
      <w:r w:rsidRPr="00F0716B">
        <w:rPr>
          <w:b/>
          <w:bCs/>
          <w:lang w:val="en-GB"/>
        </w:rPr>
        <w:t>.</w:t>
      </w:r>
      <w:r w:rsidRPr="00F0716B">
        <w:rPr>
          <w:lang w:val="en-GB"/>
        </w:rPr>
        <w:t xml:space="preserve"> </w:t>
      </w:r>
      <w:r w:rsidR="00B7427D" w:rsidRPr="00F0716B">
        <w:rPr>
          <w:lang w:val="en-GB"/>
        </w:rPr>
        <w:t xml:space="preserve">Comparison of experimental and </w:t>
      </w:r>
      <w:r w:rsidR="009D5555" w:rsidRPr="00F0716B">
        <w:rPr>
          <w:lang w:val="en-GB"/>
        </w:rPr>
        <w:t>calculated</w:t>
      </w:r>
      <w:r w:rsidR="00B7427D" w:rsidRPr="00F0716B">
        <w:rPr>
          <w:lang w:val="en-GB"/>
        </w:rPr>
        <w:t xml:space="preserve"> results </w:t>
      </w:r>
      <w:r w:rsidR="00D1381B" w:rsidRPr="00F0716B">
        <w:rPr>
          <w:lang w:val="en-GB"/>
        </w:rPr>
        <w:t>on</w:t>
      </w:r>
      <w:r w:rsidR="00B7427D" w:rsidRPr="00F0716B">
        <w:rPr>
          <w:lang w:val="en-GB"/>
        </w:rPr>
        <w:t xml:space="preserve"> the </w:t>
      </w:r>
      <w:r w:rsidR="009D5555" w:rsidRPr="00F0716B">
        <w:rPr>
          <w:lang w:val="en-GB"/>
        </w:rPr>
        <w:t>share</w:t>
      </w:r>
      <w:r w:rsidR="00B7427D" w:rsidRPr="00F0716B">
        <w:rPr>
          <w:lang w:val="en-GB"/>
        </w:rPr>
        <w:t xml:space="preserve"> of the dissatisfied (PPD)</w:t>
      </w:r>
      <w:r w:rsidR="009D5555" w:rsidRPr="00F0716B">
        <w:rPr>
          <w:lang w:val="en-GB"/>
        </w:rPr>
        <w:t xml:space="preserve"> in the room</w:t>
      </w:r>
    </w:p>
    <w:p w14:paraId="32FC1088" w14:textId="77777777" w:rsidR="005831FC" w:rsidRPr="00F0716B" w:rsidRDefault="005831FC" w:rsidP="005B15D8">
      <w:pPr>
        <w:ind w:firstLine="284"/>
        <w:jc w:val="both"/>
        <w:rPr>
          <w:sz w:val="22"/>
          <w:szCs w:val="22"/>
          <w:lang w:val="en-GB"/>
        </w:rPr>
      </w:pPr>
    </w:p>
    <w:p w14:paraId="0B131118" w14:textId="77777777" w:rsidR="00F21F5A" w:rsidRPr="00F0716B" w:rsidRDefault="0040096A" w:rsidP="005B15D8">
      <w:pPr>
        <w:ind w:firstLine="284"/>
        <w:jc w:val="both"/>
        <w:rPr>
          <w:sz w:val="22"/>
          <w:szCs w:val="22"/>
          <w:lang w:val="en-GB"/>
        </w:rPr>
      </w:pPr>
      <w:r w:rsidRPr="00F0716B">
        <w:rPr>
          <w:sz w:val="22"/>
          <w:szCs w:val="22"/>
          <w:lang w:val="en-GB"/>
        </w:rPr>
        <w:t xml:space="preserve">The actual share of </w:t>
      </w:r>
      <w:r w:rsidR="00F05BB0" w:rsidRPr="00F0716B">
        <w:rPr>
          <w:sz w:val="22"/>
          <w:szCs w:val="22"/>
          <w:lang w:val="en-GB"/>
        </w:rPr>
        <w:t xml:space="preserve">the </w:t>
      </w:r>
      <w:r w:rsidRPr="00F0716B">
        <w:rPr>
          <w:sz w:val="22"/>
          <w:szCs w:val="22"/>
          <w:lang w:val="en-GB"/>
        </w:rPr>
        <w:t>people who were dissatisfied with the thermal conditions in the room (determined based on their opinions expressed in the questionnaires) amounted to 5%</w:t>
      </w:r>
      <w:r w:rsidR="00E52D38" w:rsidRPr="00F0716B">
        <w:rPr>
          <w:sz w:val="22"/>
          <w:szCs w:val="22"/>
          <w:lang w:val="en-GB"/>
        </w:rPr>
        <w:t xml:space="preserve"> (Figure 9)</w:t>
      </w:r>
      <w:r w:rsidR="00F05BB0" w:rsidRPr="00F0716B">
        <w:rPr>
          <w:sz w:val="22"/>
          <w:szCs w:val="22"/>
          <w:lang w:val="en-GB"/>
        </w:rPr>
        <w:t xml:space="preserve">. On the other hand, the calculations conducted according to the </w:t>
      </w:r>
      <w:proofErr w:type="spellStart"/>
      <w:r w:rsidR="00F05BB0" w:rsidRPr="00F0716B">
        <w:rPr>
          <w:sz w:val="22"/>
          <w:szCs w:val="22"/>
          <w:lang w:val="en-GB"/>
        </w:rPr>
        <w:t>Fanger</w:t>
      </w:r>
      <w:proofErr w:type="spellEnd"/>
      <w:r w:rsidR="00F05BB0" w:rsidRPr="00F0716B">
        <w:rPr>
          <w:sz w:val="22"/>
          <w:szCs w:val="22"/>
          <w:lang w:val="en-GB"/>
        </w:rPr>
        <w:t xml:space="preserve"> model generated </w:t>
      </w:r>
      <w:r w:rsidR="00840453">
        <w:rPr>
          <w:sz w:val="22"/>
          <w:szCs w:val="22"/>
          <w:lang w:val="en-GB"/>
        </w:rPr>
        <w:t>a</w:t>
      </w:r>
      <w:r w:rsidR="00F05BB0" w:rsidRPr="00F0716B">
        <w:rPr>
          <w:sz w:val="22"/>
          <w:szCs w:val="22"/>
          <w:lang w:val="en-GB"/>
        </w:rPr>
        <w:t xml:space="preserve"> value of 17%</w:t>
      </w:r>
      <w:r w:rsidR="00840453">
        <w:rPr>
          <w:sz w:val="22"/>
          <w:szCs w:val="22"/>
          <w:lang w:val="en-GB"/>
        </w:rPr>
        <w:t>, whi</w:t>
      </w:r>
      <w:r w:rsidR="00F05BB0" w:rsidRPr="00F0716B">
        <w:rPr>
          <w:sz w:val="22"/>
          <w:szCs w:val="22"/>
          <w:lang w:val="en-GB"/>
        </w:rPr>
        <w:t>ch is the predicted percentage of the dissatisfied. The discrepancy is quite significant and can be explained by the fact that the model was originally developed in the 60s</w:t>
      </w:r>
      <w:r w:rsidR="00D1381B" w:rsidRPr="00F0716B">
        <w:rPr>
          <w:sz w:val="22"/>
          <w:szCs w:val="22"/>
          <w:lang w:val="en-GB"/>
        </w:rPr>
        <w:t xml:space="preserve"> based on experimental studies</w:t>
      </w:r>
      <w:r w:rsidR="00F05BB0" w:rsidRPr="00F0716B">
        <w:rPr>
          <w:sz w:val="22"/>
          <w:szCs w:val="22"/>
          <w:lang w:val="en-GB"/>
        </w:rPr>
        <w:t xml:space="preserve">, while the modern buildings – such as the one where the tests took place – might generate different indoor environment conditions due to </w:t>
      </w:r>
      <w:r w:rsidR="00F05BB0" w:rsidRPr="00F0716B">
        <w:rPr>
          <w:sz w:val="22"/>
          <w:szCs w:val="22"/>
          <w:lang w:val="en-GB"/>
        </w:rPr>
        <w:lastRenderedPageBreak/>
        <w:t>the</w:t>
      </w:r>
      <w:r w:rsidR="00751A0E">
        <w:rPr>
          <w:sz w:val="22"/>
          <w:szCs w:val="22"/>
          <w:lang w:val="en-GB"/>
        </w:rPr>
        <w:t> </w:t>
      </w:r>
      <w:r w:rsidR="00F05BB0" w:rsidRPr="00F0716B">
        <w:rPr>
          <w:sz w:val="22"/>
          <w:szCs w:val="22"/>
          <w:lang w:val="en-GB"/>
        </w:rPr>
        <w:t xml:space="preserve">modern strategies of operation and control of heating, ventilation and air conditioning systems as well as the kind of building materials, air supply </w:t>
      </w:r>
      <w:r w:rsidR="00D1381B" w:rsidRPr="00F0716B">
        <w:rPr>
          <w:sz w:val="22"/>
          <w:szCs w:val="22"/>
          <w:lang w:val="en-GB"/>
        </w:rPr>
        <w:t xml:space="preserve">system </w:t>
      </w:r>
      <w:r w:rsidR="00F05BB0" w:rsidRPr="00F0716B">
        <w:rPr>
          <w:sz w:val="22"/>
          <w:szCs w:val="22"/>
          <w:lang w:val="en-GB"/>
        </w:rPr>
        <w:t>design and other factors.</w:t>
      </w:r>
      <w:r w:rsidR="00B43853" w:rsidRPr="00F0716B">
        <w:rPr>
          <w:sz w:val="22"/>
          <w:szCs w:val="22"/>
          <w:lang w:val="en-GB"/>
        </w:rPr>
        <w:t xml:space="preserve"> Moreover, human expectations regarding their most favourable thermal environment conditions might have changed throughout the decades</w:t>
      </w:r>
      <w:r w:rsidR="006C38C9" w:rsidRPr="00F0716B">
        <w:rPr>
          <w:sz w:val="22"/>
          <w:szCs w:val="22"/>
          <w:lang w:val="en-GB"/>
        </w:rPr>
        <w:t xml:space="preserve"> and can now be quite different compar</w:t>
      </w:r>
      <w:r w:rsidR="00840453">
        <w:rPr>
          <w:sz w:val="22"/>
          <w:szCs w:val="22"/>
          <w:lang w:val="en-GB"/>
        </w:rPr>
        <w:t>ed</w:t>
      </w:r>
      <w:r w:rsidR="006C38C9" w:rsidRPr="00F0716B">
        <w:rPr>
          <w:sz w:val="22"/>
          <w:szCs w:val="22"/>
          <w:lang w:val="en-GB"/>
        </w:rPr>
        <w:t xml:space="preserve"> to when experimental </w:t>
      </w:r>
      <w:r w:rsidR="00840453">
        <w:rPr>
          <w:sz w:val="22"/>
          <w:szCs w:val="22"/>
          <w:lang w:val="en-GB"/>
        </w:rPr>
        <w:t>thermal comfort studies</w:t>
      </w:r>
      <w:r w:rsidR="006C38C9" w:rsidRPr="00F0716B">
        <w:rPr>
          <w:sz w:val="22"/>
          <w:szCs w:val="22"/>
          <w:lang w:val="en-GB"/>
        </w:rPr>
        <w:t xml:space="preserve"> with the view of model development were carried out</w:t>
      </w:r>
      <w:r w:rsidR="00B43853" w:rsidRPr="00F0716B">
        <w:rPr>
          <w:sz w:val="22"/>
          <w:szCs w:val="22"/>
          <w:lang w:val="en-GB"/>
        </w:rPr>
        <w:t xml:space="preserve">. </w:t>
      </w:r>
    </w:p>
    <w:p w14:paraId="75837778" w14:textId="77777777" w:rsidR="005B15D8" w:rsidRPr="00F0716B" w:rsidRDefault="007674F9" w:rsidP="005831FC">
      <w:pPr>
        <w:ind w:firstLine="284"/>
        <w:jc w:val="both"/>
        <w:rPr>
          <w:spacing w:val="-2"/>
          <w:sz w:val="22"/>
          <w:szCs w:val="22"/>
          <w:lang w:val="en-GB"/>
        </w:rPr>
      </w:pPr>
      <w:r w:rsidRPr="00F0716B">
        <w:rPr>
          <w:spacing w:val="-2"/>
          <w:sz w:val="22"/>
          <w:szCs w:val="22"/>
          <w:lang w:val="en-GB"/>
        </w:rPr>
        <w:t>Due to the importance of the problem of the occurrence of sick building syndromes, the study should be extended in the future to include more SBS symptoms and their influence on the learning performance of the students measured both subjectively (with questionnaires) and objectively (assessing the actual learning outcomes).</w:t>
      </w:r>
    </w:p>
    <w:p w14:paraId="4F8B27CF" w14:textId="77777777" w:rsidR="005F7475" w:rsidRPr="00F0716B" w:rsidRDefault="003427D4" w:rsidP="005C072F">
      <w:pPr>
        <w:spacing w:before="240" w:after="120"/>
        <w:rPr>
          <w:b/>
          <w:bCs/>
          <w:lang w:val="en-GB"/>
        </w:rPr>
      </w:pPr>
      <w:r w:rsidRPr="00F0716B">
        <w:rPr>
          <w:b/>
          <w:bCs/>
          <w:lang w:val="en-GB"/>
        </w:rPr>
        <w:t>4</w:t>
      </w:r>
      <w:r w:rsidR="005C072F" w:rsidRPr="00F0716B">
        <w:rPr>
          <w:b/>
          <w:bCs/>
          <w:lang w:val="en-GB"/>
        </w:rPr>
        <w:t xml:space="preserve">. Summary and </w:t>
      </w:r>
      <w:r w:rsidR="002D5F0B">
        <w:rPr>
          <w:b/>
          <w:bCs/>
          <w:lang w:val="en-GB"/>
        </w:rPr>
        <w:t>C</w:t>
      </w:r>
      <w:r w:rsidR="005C072F" w:rsidRPr="00F0716B">
        <w:rPr>
          <w:b/>
          <w:bCs/>
          <w:lang w:val="en-GB"/>
        </w:rPr>
        <w:t>onclusions</w:t>
      </w:r>
    </w:p>
    <w:p w14:paraId="28831BB9" w14:textId="77777777" w:rsidR="001D1E9E" w:rsidRPr="00F0716B" w:rsidRDefault="003427D4" w:rsidP="001D1E9E">
      <w:pPr>
        <w:spacing w:before="120" w:after="120"/>
        <w:rPr>
          <w:b/>
          <w:bCs/>
          <w:sz w:val="22"/>
          <w:szCs w:val="22"/>
          <w:lang w:val="en-GB"/>
        </w:rPr>
      </w:pPr>
      <w:r w:rsidRPr="00F0716B">
        <w:rPr>
          <w:b/>
          <w:bCs/>
          <w:sz w:val="22"/>
          <w:szCs w:val="22"/>
          <w:lang w:val="en-GB"/>
        </w:rPr>
        <w:t>4</w:t>
      </w:r>
      <w:r w:rsidR="001D1E9E" w:rsidRPr="00F0716B">
        <w:rPr>
          <w:b/>
          <w:bCs/>
          <w:sz w:val="22"/>
          <w:szCs w:val="22"/>
          <w:lang w:val="en-GB"/>
        </w:rPr>
        <w:t>.1. Summary</w:t>
      </w:r>
    </w:p>
    <w:p w14:paraId="48CB54C9" w14:textId="77777777" w:rsidR="001D1E9E" w:rsidRPr="00F0716B" w:rsidRDefault="00840453" w:rsidP="001D1E9E">
      <w:pPr>
        <w:ind w:firstLine="284"/>
        <w:jc w:val="both"/>
        <w:rPr>
          <w:sz w:val="22"/>
          <w:szCs w:val="22"/>
          <w:lang w:val="en-GB"/>
        </w:rPr>
      </w:pPr>
      <w:r>
        <w:rPr>
          <w:sz w:val="22"/>
          <w:szCs w:val="22"/>
          <w:lang w:val="en-GB"/>
        </w:rPr>
        <w:t>The i</w:t>
      </w:r>
      <w:r w:rsidR="00B82A5B" w:rsidRPr="00F0716B">
        <w:rPr>
          <w:sz w:val="22"/>
          <w:szCs w:val="22"/>
          <w:lang w:val="en-GB"/>
        </w:rPr>
        <w:t xml:space="preserve">ndoor environment should be </w:t>
      </w:r>
      <w:r>
        <w:rPr>
          <w:sz w:val="22"/>
          <w:szCs w:val="22"/>
          <w:lang w:val="en-GB"/>
        </w:rPr>
        <w:t>designed appropriately</w:t>
      </w:r>
      <w:r w:rsidR="00B82A5B" w:rsidRPr="00F0716B">
        <w:rPr>
          <w:sz w:val="22"/>
          <w:szCs w:val="22"/>
          <w:lang w:val="en-GB"/>
        </w:rPr>
        <w:t xml:space="preserve"> so that sick building syndrome symptoms would not occur</w:t>
      </w:r>
      <w:r w:rsidR="00F761B7" w:rsidRPr="00F0716B">
        <w:rPr>
          <w:sz w:val="22"/>
          <w:szCs w:val="22"/>
          <w:lang w:val="en-GB"/>
        </w:rPr>
        <w:t>.</w:t>
      </w:r>
      <w:r w:rsidR="00B82A5B" w:rsidRPr="00F0716B">
        <w:rPr>
          <w:sz w:val="22"/>
          <w:szCs w:val="22"/>
          <w:lang w:val="en-GB"/>
        </w:rPr>
        <w:t xml:space="preserve"> Similarly, </w:t>
      </w:r>
      <w:r>
        <w:rPr>
          <w:sz w:val="22"/>
          <w:szCs w:val="22"/>
          <w:lang w:val="en-GB"/>
        </w:rPr>
        <w:t xml:space="preserve">the </w:t>
      </w:r>
      <w:r w:rsidR="00B82A5B" w:rsidRPr="00F0716B">
        <w:rPr>
          <w:sz w:val="22"/>
          <w:szCs w:val="22"/>
          <w:lang w:val="en-GB"/>
        </w:rPr>
        <w:t xml:space="preserve">thermal environment ought to be adequately controlled, too. The present study revealed that members of the large group of students (69 people in total) experienced </w:t>
      </w:r>
      <w:r w:rsidR="009D0012" w:rsidRPr="00F0716B">
        <w:rPr>
          <w:sz w:val="22"/>
          <w:szCs w:val="22"/>
          <w:lang w:val="en-GB"/>
        </w:rPr>
        <w:t xml:space="preserve">eye pain, dizziness, nausea or </w:t>
      </w:r>
      <w:r w:rsidR="00B82A5B" w:rsidRPr="00F0716B">
        <w:rPr>
          <w:sz w:val="22"/>
          <w:szCs w:val="22"/>
          <w:lang w:val="en-GB"/>
        </w:rPr>
        <w:t xml:space="preserve">nasal mucosa </w:t>
      </w:r>
      <w:r w:rsidR="009D0012" w:rsidRPr="00F0716B">
        <w:rPr>
          <w:sz w:val="22"/>
          <w:szCs w:val="22"/>
          <w:lang w:val="en-GB"/>
        </w:rPr>
        <w:t xml:space="preserve">and the number of such responses was quite high for almost all the </w:t>
      </w:r>
      <w:r w:rsidR="00B82A5B" w:rsidRPr="00F0716B">
        <w:rPr>
          <w:sz w:val="22"/>
          <w:szCs w:val="22"/>
          <w:lang w:val="en-GB"/>
        </w:rPr>
        <w:t>symptoms</w:t>
      </w:r>
      <w:r w:rsidR="009D0012" w:rsidRPr="00F0716B">
        <w:rPr>
          <w:sz w:val="22"/>
          <w:szCs w:val="22"/>
          <w:lang w:val="en-GB"/>
        </w:rPr>
        <w:t xml:space="preserve"> (except for nausea).</w:t>
      </w:r>
      <w:r w:rsidR="00545620" w:rsidRPr="00F0716B">
        <w:rPr>
          <w:sz w:val="22"/>
          <w:szCs w:val="22"/>
          <w:lang w:val="en-GB"/>
        </w:rPr>
        <w:t xml:space="preserve"> </w:t>
      </w:r>
      <w:r w:rsidR="00545620" w:rsidRPr="005764ED">
        <w:rPr>
          <w:spacing w:val="-2"/>
          <w:sz w:val="22"/>
          <w:szCs w:val="22"/>
          <w:lang w:val="en-GB"/>
        </w:rPr>
        <w:t>Dizziness was experienced by 11% of men and 15% of women, eye pain by 19% of women and 9.1% of men, nasal mucosa by ca. 19% of women and ca. 9% of men, while nausea was observed only in 6.8% of men.</w:t>
      </w:r>
    </w:p>
    <w:p w14:paraId="3B806EEC" w14:textId="77777777" w:rsidR="001D1E9E" w:rsidRPr="00F0716B" w:rsidRDefault="001D1E9E" w:rsidP="001D1E9E">
      <w:pPr>
        <w:ind w:firstLine="284"/>
        <w:jc w:val="both"/>
        <w:rPr>
          <w:sz w:val="22"/>
          <w:szCs w:val="22"/>
          <w:lang w:val="en-GB"/>
        </w:rPr>
      </w:pPr>
      <w:r w:rsidRPr="00F0716B">
        <w:rPr>
          <w:sz w:val="22"/>
          <w:szCs w:val="22"/>
          <w:lang w:val="en-GB"/>
        </w:rPr>
        <w:t>T</w:t>
      </w:r>
      <w:r w:rsidR="00840453">
        <w:rPr>
          <w:sz w:val="22"/>
          <w:szCs w:val="22"/>
          <w:lang w:val="en-GB"/>
        </w:rPr>
        <w:t>he t</w:t>
      </w:r>
      <w:r w:rsidRPr="00F0716B">
        <w:rPr>
          <w:sz w:val="22"/>
          <w:szCs w:val="22"/>
          <w:lang w:val="en-GB"/>
        </w:rPr>
        <w:t xml:space="preserve">hermal environment in the lecture room seems to have </w:t>
      </w:r>
      <w:r w:rsidR="00840453">
        <w:rPr>
          <w:sz w:val="22"/>
          <w:szCs w:val="22"/>
          <w:lang w:val="en-GB"/>
        </w:rPr>
        <w:t>impacted</w:t>
      </w:r>
      <w:r w:rsidRPr="00F0716B">
        <w:rPr>
          <w:sz w:val="22"/>
          <w:szCs w:val="22"/>
          <w:lang w:val="en-GB"/>
        </w:rPr>
        <w:t xml:space="preserve"> the </w:t>
      </w:r>
      <w:r w:rsidR="00840453">
        <w:rPr>
          <w:sz w:val="22"/>
          <w:szCs w:val="22"/>
          <w:lang w:val="en-GB"/>
        </w:rPr>
        <w:t>respondents' well-being,</w:t>
      </w:r>
      <w:r w:rsidRPr="00F0716B">
        <w:rPr>
          <w:sz w:val="22"/>
          <w:szCs w:val="22"/>
          <w:lang w:val="en-GB"/>
        </w:rPr>
        <w:t xml:space="preserve"> and it was observed that the most favourable conditions were reported by those who felt cool in the lecture room. It</w:t>
      </w:r>
      <w:r w:rsidR="00751A0E">
        <w:rPr>
          <w:sz w:val="22"/>
          <w:szCs w:val="22"/>
          <w:lang w:val="en-GB"/>
        </w:rPr>
        <w:t> </w:t>
      </w:r>
      <w:r w:rsidRPr="00F0716B">
        <w:rPr>
          <w:sz w:val="22"/>
          <w:szCs w:val="22"/>
          <w:lang w:val="en-GB"/>
        </w:rPr>
        <w:t>might have been caused by high indoor air temperature during the measurements</w:t>
      </w:r>
      <w:r w:rsidR="00F81E6F" w:rsidRPr="00F0716B">
        <w:rPr>
          <w:sz w:val="22"/>
          <w:szCs w:val="22"/>
          <w:lang w:val="en-GB"/>
        </w:rPr>
        <w:t xml:space="preserve"> ranging from 26.1 to 27.7</w:t>
      </w:r>
      <w:r w:rsidR="005831FC" w:rsidRPr="00F0716B">
        <w:rPr>
          <w:sz w:val="22"/>
          <w:szCs w:val="22"/>
          <w:lang w:val="en-GB"/>
        </w:rPr>
        <w:t>°</w:t>
      </w:r>
      <w:r w:rsidR="00F81E6F" w:rsidRPr="00F0716B">
        <w:rPr>
          <w:sz w:val="22"/>
          <w:szCs w:val="22"/>
          <w:lang w:val="en-GB"/>
        </w:rPr>
        <w:t>C</w:t>
      </w:r>
      <w:r w:rsidRPr="00F0716B">
        <w:rPr>
          <w:sz w:val="22"/>
          <w:szCs w:val="22"/>
          <w:lang w:val="en-GB"/>
        </w:rPr>
        <w:t>.</w:t>
      </w:r>
    </w:p>
    <w:p w14:paraId="492C2DA6" w14:textId="77777777" w:rsidR="001D1E9E" w:rsidRPr="00F0716B" w:rsidRDefault="001D1E9E" w:rsidP="001D1E9E">
      <w:pPr>
        <w:ind w:firstLine="284"/>
        <w:jc w:val="both"/>
        <w:rPr>
          <w:sz w:val="22"/>
          <w:szCs w:val="22"/>
          <w:lang w:val="en-GB"/>
        </w:rPr>
      </w:pPr>
      <w:r w:rsidRPr="00F0716B">
        <w:rPr>
          <w:sz w:val="22"/>
          <w:szCs w:val="22"/>
          <w:lang w:val="en-GB"/>
        </w:rPr>
        <w:t xml:space="preserve">The validation of the </w:t>
      </w:r>
      <w:proofErr w:type="spellStart"/>
      <w:r w:rsidRPr="00F0716B">
        <w:rPr>
          <w:sz w:val="22"/>
          <w:szCs w:val="22"/>
          <w:lang w:val="en-GB"/>
        </w:rPr>
        <w:t>Fanger</w:t>
      </w:r>
      <w:proofErr w:type="spellEnd"/>
      <w:r w:rsidRPr="00F0716B">
        <w:rPr>
          <w:sz w:val="22"/>
          <w:szCs w:val="22"/>
          <w:lang w:val="en-GB"/>
        </w:rPr>
        <w:t xml:space="preserve"> model in the considered room showed differences between the model calculations and experimental data. The values of </w:t>
      </w:r>
      <w:r w:rsidR="00840453">
        <w:rPr>
          <w:sz w:val="22"/>
          <w:szCs w:val="22"/>
          <w:lang w:val="en-GB"/>
        </w:rPr>
        <w:t xml:space="preserve">the </w:t>
      </w:r>
      <w:r w:rsidRPr="00F0716B">
        <w:rPr>
          <w:sz w:val="22"/>
          <w:szCs w:val="22"/>
          <w:lang w:val="en-GB"/>
        </w:rPr>
        <w:t>predicted mean vote and thermal sensation vote differed by 0.57. The percentage of the dissatisfied calculated according to the model was 17%, while the actual measurements provided the value of 5%.</w:t>
      </w:r>
    </w:p>
    <w:p w14:paraId="3EE011F2" w14:textId="77777777" w:rsidR="001D1E9E" w:rsidRPr="00F0716B" w:rsidRDefault="003427D4" w:rsidP="001D1E9E">
      <w:pPr>
        <w:spacing w:before="120" w:after="120"/>
        <w:rPr>
          <w:b/>
          <w:bCs/>
          <w:sz w:val="22"/>
          <w:szCs w:val="22"/>
          <w:lang w:val="en-GB"/>
        </w:rPr>
      </w:pPr>
      <w:r w:rsidRPr="00F0716B">
        <w:rPr>
          <w:b/>
          <w:bCs/>
          <w:sz w:val="22"/>
          <w:szCs w:val="22"/>
          <w:lang w:val="en-GB"/>
        </w:rPr>
        <w:t>4</w:t>
      </w:r>
      <w:r w:rsidR="001D1E9E" w:rsidRPr="00F0716B">
        <w:rPr>
          <w:b/>
          <w:bCs/>
          <w:sz w:val="22"/>
          <w:szCs w:val="22"/>
          <w:lang w:val="en-GB"/>
        </w:rPr>
        <w:t>.2. Conclusions</w:t>
      </w:r>
    </w:p>
    <w:p w14:paraId="351D462F" w14:textId="77777777" w:rsidR="009D0012" w:rsidRPr="00F0716B" w:rsidRDefault="009D0012" w:rsidP="00545620">
      <w:pPr>
        <w:ind w:firstLine="284"/>
        <w:jc w:val="both"/>
        <w:rPr>
          <w:sz w:val="22"/>
          <w:szCs w:val="22"/>
          <w:lang w:val="en-GB"/>
        </w:rPr>
      </w:pPr>
      <w:r w:rsidRPr="00F0716B">
        <w:rPr>
          <w:sz w:val="22"/>
          <w:szCs w:val="22"/>
          <w:lang w:val="en-GB"/>
        </w:rPr>
        <w:t xml:space="preserve">Probably proper management of microclimate in the room </w:t>
      </w:r>
      <w:r w:rsidR="00B82A5B" w:rsidRPr="00F0716B">
        <w:rPr>
          <w:sz w:val="22"/>
          <w:szCs w:val="22"/>
          <w:lang w:val="en-GB"/>
        </w:rPr>
        <w:t xml:space="preserve">(e.g. by increased fresh air flow or better filtering) </w:t>
      </w:r>
      <w:r w:rsidRPr="00F0716B">
        <w:rPr>
          <w:sz w:val="22"/>
          <w:szCs w:val="22"/>
          <w:lang w:val="en-GB"/>
        </w:rPr>
        <w:t xml:space="preserve">and providing more acceptable </w:t>
      </w:r>
      <w:r w:rsidR="00B82A5B" w:rsidRPr="00F0716B">
        <w:rPr>
          <w:sz w:val="22"/>
          <w:szCs w:val="22"/>
          <w:lang w:val="en-GB"/>
        </w:rPr>
        <w:t xml:space="preserve">thermal </w:t>
      </w:r>
      <w:r w:rsidRPr="00F0716B">
        <w:rPr>
          <w:sz w:val="22"/>
          <w:szCs w:val="22"/>
          <w:lang w:val="en-GB"/>
        </w:rPr>
        <w:t xml:space="preserve">conditions could help </w:t>
      </w:r>
      <w:r w:rsidR="00840453">
        <w:rPr>
          <w:sz w:val="22"/>
          <w:szCs w:val="22"/>
          <w:lang w:val="en-GB"/>
        </w:rPr>
        <w:t>reduce</w:t>
      </w:r>
      <w:r w:rsidRPr="00F0716B">
        <w:rPr>
          <w:sz w:val="22"/>
          <w:szCs w:val="22"/>
          <w:lang w:val="en-GB"/>
        </w:rPr>
        <w:t xml:space="preserve"> sick building syndrome symptoms</w:t>
      </w:r>
      <w:r w:rsidR="00B82A5B" w:rsidRPr="00F0716B">
        <w:rPr>
          <w:sz w:val="22"/>
          <w:szCs w:val="22"/>
          <w:lang w:val="en-GB"/>
        </w:rPr>
        <w:t xml:space="preserve">. It is especially vital at educational facilities because concentration problems might occur and, </w:t>
      </w:r>
      <w:r w:rsidR="00840453">
        <w:rPr>
          <w:sz w:val="22"/>
          <w:szCs w:val="22"/>
          <w:lang w:val="en-GB"/>
        </w:rPr>
        <w:t>consequently, the students' learning potential</w:t>
      </w:r>
      <w:r w:rsidR="00B82A5B" w:rsidRPr="00F0716B">
        <w:rPr>
          <w:sz w:val="22"/>
          <w:szCs w:val="22"/>
          <w:lang w:val="en-GB"/>
        </w:rPr>
        <w:t xml:space="preserve"> could be reduced. </w:t>
      </w:r>
    </w:p>
    <w:p w14:paraId="3F1A47AD" w14:textId="77777777" w:rsidR="009D0012" w:rsidRPr="00F0716B" w:rsidRDefault="00583503" w:rsidP="001D1E9E">
      <w:pPr>
        <w:ind w:firstLine="284"/>
        <w:jc w:val="both"/>
        <w:rPr>
          <w:sz w:val="22"/>
          <w:szCs w:val="22"/>
          <w:lang w:val="en-GB"/>
        </w:rPr>
      </w:pPr>
      <w:r w:rsidRPr="00F0716B">
        <w:rPr>
          <w:sz w:val="22"/>
          <w:szCs w:val="22"/>
          <w:lang w:val="en-GB"/>
        </w:rPr>
        <w:t xml:space="preserve">The discrepancies </w:t>
      </w:r>
      <w:r w:rsidR="001D1E9E" w:rsidRPr="00F0716B">
        <w:rPr>
          <w:sz w:val="22"/>
          <w:szCs w:val="22"/>
          <w:lang w:val="en-GB"/>
        </w:rPr>
        <w:t xml:space="preserve">between the </w:t>
      </w:r>
      <w:proofErr w:type="spellStart"/>
      <w:r w:rsidR="001D1E9E" w:rsidRPr="00F0716B">
        <w:rPr>
          <w:sz w:val="22"/>
          <w:szCs w:val="22"/>
          <w:lang w:val="en-GB"/>
        </w:rPr>
        <w:t>Fanger</w:t>
      </w:r>
      <w:proofErr w:type="spellEnd"/>
      <w:r w:rsidR="001D1E9E" w:rsidRPr="00F0716B">
        <w:rPr>
          <w:sz w:val="22"/>
          <w:szCs w:val="22"/>
          <w:lang w:val="en-GB"/>
        </w:rPr>
        <w:t xml:space="preserve"> model calculations and experimental data </w:t>
      </w:r>
      <w:r w:rsidRPr="00F0716B">
        <w:rPr>
          <w:sz w:val="22"/>
          <w:szCs w:val="22"/>
          <w:lang w:val="en-GB"/>
        </w:rPr>
        <w:t xml:space="preserve">confirm the findings of </w:t>
      </w:r>
      <w:r w:rsidR="00C05E74" w:rsidRPr="00F0716B">
        <w:rPr>
          <w:sz w:val="22"/>
          <w:szCs w:val="22"/>
          <w:lang w:val="en-GB"/>
        </w:rPr>
        <w:t>various</w:t>
      </w:r>
      <w:r w:rsidRPr="00F0716B">
        <w:rPr>
          <w:sz w:val="22"/>
          <w:szCs w:val="22"/>
          <w:lang w:val="en-GB"/>
        </w:rPr>
        <w:t xml:space="preserve"> researchers from other regions of the world that the analysed model might not be quite precise in the predictions of thermal sensations of room users.</w:t>
      </w:r>
    </w:p>
    <w:p w14:paraId="6E3C8013" w14:textId="77777777" w:rsidR="005831FC" w:rsidRPr="00F0716B" w:rsidRDefault="005831FC" w:rsidP="00EF737C">
      <w:pPr>
        <w:ind w:firstLine="284"/>
        <w:jc w:val="both"/>
        <w:rPr>
          <w:sz w:val="22"/>
          <w:szCs w:val="22"/>
          <w:lang w:val="en-GB"/>
        </w:rPr>
      </w:pPr>
    </w:p>
    <w:p w14:paraId="220A5D01" w14:textId="77777777" w:rsidR="00EF737C" w:rsidRPr="00F0716B" w:rsidRDefault="00EF737C" w:rsidP="005831FC">
      <w:pPr>
        <w:ind w:firstLine="284"/>
        <w:jc w:val="center"/>
        <w:rPr>
          <w:i/>
          <w:iCs/>
          <w:sz w:val="22"/>
          <w:szCs w:val="22"/>
          <w:lang w:val="en-GB"/>
        </w:rPr>
      </w:pPr>
      <w:r w:rsidRPr="00F0716B">
        <w:rPr>
          <w:i/>
          <w:iCs/>
          <w:sz w:val="22"/>
          <w:szCs w:val="22"/>
          <w:lang w:val="en-GB"/>
        </w:rPr>
        <w:t xml:space="preserve">The work in the paper was supported by the project: </w:t>
      </w:r>
      <w:r w:rsidR="005831FC" w:rsidRPr="00F0716B">
        <w:rPr>
          <w:i/>
          <w:iCs/>
          <w:sz w:val="22"/>
          <w:szCs w:val="22"/>
          <w:lang w:val="en-GB"/>
        </w:rPr>
        <w:br/>
      </w:r>
      <w:r w:rsidR="00680C40">
        <w:rPr>
          <w:i/>
          <w:iCs/>
          <w:sz w:val="22"/>
          <w:szCs w:val="22"/>
          <w:lang w:val="en-GB"/>
        </w:rPr>
        <w:t>"</w:t>
      </w:r>
      <w:r w:rsidRPr="00F0716B">
        <w:rPr>
          <w:i/>
          <w:iCs/>
          <w:sz w:val="22"/>
          <w:szCs w:val="22"/>
          <w:lang w:val="en-GB"/>
        </w:rPr>
        <w:t>SP2023/094 Specific research in selected areas of energy processes</w:t>
      </w:r>
      <w:r w:rsidR="00680C40">
        <w:rPr>
          <w:i/>
          <w:iCs/>
          <w:sz w:val="22"/>
          <w:szCs w:val="22"/>
          <w:lang w:val="en-GB"/>
        </w:rPr>
        <w:t>"</w:t>
      </w:r>
      <w:r w:rsidRPr="00F0716B">
        <w:rPr>
          <w:i/>
          <w:iCs/>
          <w:sz w:val="22"/>
          <w:szCs w:val="22"/>
          <w:lang w:val="en-GB"/>
        </w:rPr>
        <w:t>.</w:t>
      </w:r>
    </w:p>
    <w:p w14:paraId="029EABD6" w14:textId="77777777" w:rsidR="00613B4D" w:rsidRPr="00F0716B" w:rsidRDefault="0016385D" w:rsidP="005831FC">
      <w:pPr>
        <w:pStyle w:val="Rn2"/>
        <w:rPr>
          <w:lang w:val="en-GB"/>
        </w:rPr>
      </w:pPr>
      <w:r w:rsidRPr="00F0716B">
        <w:rPr>
          <w:lang w:val="en-GB"/>
        </w:rPr>
        <w:t>References</w:t>
      </w:r>
    </w:p>
    <w:p w14:paraId="1C32D443" w14:textId="77777777" w:rsidR="0046763E" w:rsidRPr="00F0716B" w:rsidRDefault="0046763E" w:rsidP="005831FC">
      <w:pPr>
        <w:pStyle w:val="Rlit"/>
        <w:rPr>
          <w:lang w:val="en-GB"/>
        </w:rPr>
      </w:pPr>
      <w:r w:rsidRPr="00F0716B">
        <w:rPr>
          <w:lang w:val="en-GB"/>
        </w:rPr>
        <w:t xml:space="preserve">Aguilar, A.J., de la </w:t>
      </w:r>
      <w:proofErr w:type="spellStart"/>
      <w:r w:rsidRPr="00F0716B">
        <w:rPr>
          <w:lang w:val="en-GB"/>
        </w:rPr>
        <w:t>Hoz</w:t>
      </w:r>
      <w:proofErr w:type="spellEnd"/>
      <w:r w:rsidRPr="00F0716B">
        <w:rPr>
          <w:lang w:val="en-GB"/>
        </w:rPr>
        <w:t xml:space="preserve">-Torres, M.L., Costa, N., </w:t>
      </w:r>
      <w:proofErr w:type="spellStart"/>
      <w:r w:rsidRPr="00F0716B">
        <w:rPr>
          <w:lang w:val="en-GB"/>
        </w:rPr>
        <w:t>Arezes</w:t>
      </w:r>
      <w:proofErr w:type="spellEnd"/>
      <w:r w:rsidRPr="00F0716B">
        <w:rPr>
          <w:lang w:val="en-GB"/>
        </w:rPr>
        <w:t xml:space="preserve">, P., Martínez-Aires, M.D., Ruiz, D.P. (2022). </w:t>
      </w:r>
      <w:r w:rsidR="000007B5" w:rsidRPr="00F0716B">
        <w:rPr>
          <w:lang w:val="en-GB"/>
        </w:rPr>
        <w:t>Assessment of ventilation rates inside educational buildings in Southwestern Europe: Analysis of implemented strategic measures</w:t>
      </w:r>
      <w:r w:rsidR="00737DBF" w:rsidRPr="00F0716B">
        <w:rPr>
          <w:lang w:val="en-GB"/>
        </w:rPr>
        <w:t>.</w:t>
      </w:r>
      <w:r w:rsidR="000007B5" w:rsidRPr="00F0716B">
        <w:rPr>
          <w:lang w:val="en-GB"/>
        </w:rPr>
        <w:t xml:space="preserve"> </w:t>
      </w:r>
      <w:r w:rsidRPr="00F0716B">
        <w:rPr>
          <w:i/>
          <w:iCs/>
          <w:lang w:val="en-GB"/>
        </w:rPr>
        <w:t>Journal of Building Engineering</w:t>
      </w:r>
      <w:r w:rsidRPr="00F0716B">
        <w:rPr>
          <w:lang w:val="en-GB"/>
        </w:rPr>
        <w:t xml:space="preserve">, </w:t>
      </w:r>
      <w:r w:rsidRPr="00F0716B">
        <w:rPr>
          <w:i/>
          <w:iCs/>
          <w:lang w:val="en-GB"/>
        </w:rPr>
        <w:t>51</w:t>
      </w:r>
      <w:r w:rsidR="000007B5" w:rsidRPr="00F0716B">
        <w:rPr>
          <w:lang w:val="en-GB"/>
        </w:rPr>
        <w:t>, 104204. https://doi.org/10.1016/j.jobe.2022.104204</w:t>
      </w:r>
    </w:p>
    <w:p w14:paraId="6505C590" w14:textId="77777777" w:rsidR="00D3066D" w:rsidRPr="00F0716B" w:rsidRDefault="009955D1" w:rsidP="005831FC">
      <w:pPr>
        <w:pStyle w:val="Rlit"/>
        <w:rPr>
          <w:lang w:val="en-GB"/>
        </w:rPr>
      </w:pPr>
      <w:proofErr w:type="spellStart"/>
      <w:r w:rsidRPr="00F0716B">
        <w:rPr>
          <w:lang w:val="en-GB"/>
        </w:rPr>
        <w:t>A</w:t>
      </w:r>
      <w:r w:rsidR="00D3066D" w:rsidRPr="00F0716B">
        <w:rPr>
          <w:lang w:val="en-GB"/>
        </w:rPr>
        <w:t>manowicz</w:t>
      </w:r>
      <w:proofErr w:type="spellEnd"/>
      <w:r w:rsidR="00D3066D" w:rsidRPr="00F0716B">
        <w:rPr>
          <w:lang w:val="en-GB"/>
        </w:rPr>
        <w:t xml:space="preserve">, Ł., </w:t>
      </w:r>
      <w:proofErr w:type="spellStart"/>
      <w:r w:rsidR="00D3066D" w:rsidRPr="00F0716B">
        <w:rPr>
          <w:lang w:val="en-GB"/>
        </w:rPr>
        <w:t>Wojtkowiak</w:t>
      </w:r>
      <w:proofErr w:type="spellEnd"/>
      <w:r w:rsidR="00D3066D" w:rsidRPr="00F0716B">
        <w:rPr>
          <w:lang w:val="en-GB"/>
        </w:rPr>
        <w:t xml:space="preserve">, J. (2021). Comparison of single- and multipipe earth-to-air heat exchangers in terms of energy gains and electricity consumption: a case study for the temperate climate of Central Europe. </w:t>
      </w:r>
      <w:r w:rsidR="00D3066D" w:rsidRPr="00F0716B">
        <w:rPr>
          <w:i/>
          <w:iCs/>
          <w:lang w:val="en-GB"/>
        </w:rPr>
        <w:t>Energies</w:t>
      </w:r>
      <w:r w:rsidR="00D3066D" w:rsidRPr="00F0716B">
        <w:rPr>
          <w:lang w:val="en-GB"/>
        </w:rPr>
        <w:t xml:space="preserve">, </w:t>
      </w:r>
      <w:r w:rsidR="00D3066D" w:rsidRPr="00F0716B">
        <w:rPr>
          <w:i/>
          <w:iCs/>
          <w:lang w:val="en-GB"/>
        </w:rPr>
        <w:t>14</w:t>
      </w:r>
      <w:r w:rsidR="00D3066D" w:rsidRPr="00F0716B">
        <w:rPr>
          <w:lang w:val="en-GB"/>
        </w:rPr>
        <w:t>, 8217. https://doi.org/10.3390/en14248217</w:t>
      </w:r>
    </w:p>
    <w:p w14:paraId="29791123" w14:textId="77777777" w:rsidR="00CB059B" w:rsidRPr="00F0716B" w:rsidRDefault="00CB059B" w:rsidP="005831FC">
      <w:pPr>
        <w:pStyle w:val="Rlit"/>
        <w:rPr>
          <w:lang w:val="en-GB"/>
        </w:rPr>
      </w:pPr>
      <w:proofErr w:type="spellStart"/>
      <w:r w:rsidRPr="00F0716B">
        <w:rPr>
          <w:lang w:val="en-GB"/>
        </w:rPr>
        <w:t>Chatys</w:t>
      </w:r>
      <w:proofErr w:type="spellEnd"/>
      <w:r w:rsidRPr="00F0716B">
        <w:rPr>
          <w:lang w:val="en-GB"/>
        </w:rPr>
        <w:t>, R., Orman, Ł.J. (2017). Technology and properties of layered composites as coatings for heat transfer enhancement</w:t>
      </w:r>
      <w:r w:rsidR="00640F2E" w:rsidRPr="00F0716B">
        <w:rPr>
          <w:lang w:val="en-GB"/>
        </w:rPr>
        <w:t>.</w:t>
      </w:r>
      <w:r w:rsidRPr="00F0716B">
        <w:rPr>
          <w:lang w:val="en-GB"/>
        </w:rPr>
        <w:t xml:space="preserve"> </w:t>
      </w:r>
      <w:r w:rsidRPr="00F0716B">
        <w:rPr>
          <w:i/>
          <w:iCs/>
          <w:lang w:val="en-GB"/>
        </w:rPr>
        <w:t>Mechanics of Composite Materials</w:t>
      </w:r>
      <w:r w:rsidRPr="00F0716B">
        <w:rPr>
          <w:lang w:val="en-GB"/>
        </w:rPr>
        <w:t xml:space="preserve">, </w:t>
      </w:r>
      <w:r w:rsidRPr="00F0716B">
        <w:rPr>
          <w:i/>
          <w:iCs/>
          <w:lang w:val="en-GB"/>
        </w:rPr>
        <w:t>53</w:t>
      </w:r>
      <w:r w:rsidRPr="00F0716B">
        <w:rPr>
          <w:lang w:val="en-GB"/>
        </w:rPr>
        <w:t>, 351-360. https://doi.org/10.1007/s11029-017-9666-8</w:t>
      </w:r>
    </w:p>
    <w:p w14:paraId="24932DCE" w14:textId="77777777" w:rsidR="00C450E0" w:rsidRPr="00F0716B" w:rsidRDefault="00C96B16" w:rsidP="005831FC">
      <w:pPr>
        <w:pStyle w:val="Rlit"/>
        <w:rPr>
          <w:lang w:val="en-GB"/>
        </w:rPr>
      </w:pPr>
      <w:r w:rsidRPr="00F0716B">
        <w:rPr>
          <w:lang w:val="en-GB"/>
        </w:rPr>
        <w:t xml:space="preserve">Chena, </w:t>
      </w:r>
      <w:r w:rsidR="0046763E" w:rsidRPr="00F0716B">
        <w:rPr>
          <w:lang w:val="en-GB"/>
        </w:rPr>
        <w:t xml:space="preserve">Y.-H., </w:t>
      </w:r>
      <w:r w:rsidRPr="00F0716B">
        <w:rPr>
          <w:lang w:val="en-GB"/>
        </w:rPr>
        <w:t xml:space="preserve">Tu, </w:t>
      </w:r>
      <w:r w:rsidR="0046763E" w:rsidRPr="00F0716B">
        <w:rPr>
          <w:lang w:val="en-GB"/>
        </w:rPr>
        <w:t xml:space="preserve">Y.-P., </w:t>
      </w:r>
      <w:r w:rsidRPr="00F0716B">
        <w:rPr>
          <w:lang w:val="en-GB"/>
        </w:rPr>
        <w:t xml:space="preserve">Sung, </w:t>
      </w:r>
      <w:r w:rsidR="0046763E" w:rsidRPr="00F0716B">
        <w:rPr>
          <w:lang w:val="en-GB"/>
        </w:rPr>
        <w:t xml:space="preserve">S.-Y., </w:t>
      </w:r>
      <w:r w:rsidRPr="00F0716B">
        <w:rPr>
          <w:lang w:val="en-GB"/>
        </w:rPr>
        <w:t xml:space="preserve">Weng, </w:t>
      </w:r>
      <w:r w:rsidR="0046763E" w:rsidRPr="00F0716B">
        <w:rPr>
          <w:lang w:val="en-GB"/>
        </w:rPr>
        <w:t xml:space="preserve">W.-C., </w:t>
      </w:r>
      <w:r w:rsidRPr="00F0716B">
        <w:rPr>
          <w:lang w:val="en-GB"/>
        </w:rPr>
        <w:t xml:space="preserve">Huang, </w:t>
      </w:r>
      <w:r w:rsidR="0046763E" w:rsidRPr="00F0716B">
        <w:rPr>
          <w:lang w:val="en-GB"/>
        </w:rPr>
        <w:t xml:space="preserve">H.-L., </w:t>
      </w:r>
      <w:proofErr w:type="spellStart"/>
      <w:r w:rsidRPr="00F0716B">
        <w:rPr>
          <w:lang w:val="en-GB"/>
        </w:rPr>
        <w:t>Tsaia</w:t>
      </w:r>
      <w:proofErr w:type="spellEnd"/>
      <w:r w:rsidRPr="00F0716B">
        <w:rPr>
          <w:lang w:val="en-GB"/>
        </w:rPr>
        <w:t xml:space="preserve">, </w:t>
      </w:r>
      <w:r w:rsidR="0046763E" w:rsidRPr="00F0716B">
        <w:rPr>
          <w:lang w:val="en-GB"/>
        </w:rPr>
        <w:t>Y.I. (2022)</w:t>
      </w:r>
      <w:r w:rsidR="000007B5" w:rsidRPr="00F0716B">
        <w:rPr>
          <w:lang w:val="en-GB"/>
        </w:rPr>
        <w:t>. A comprehensive analysis of the intervention of a fresh air ventilation system on indoor air quality in classrooms.</w:t>
      </w:r>
      <w:r w:rsidR="0046763E" w:rsidRPr="00F0716B">
        <w:rPr>
          <w:lang w:val="en-GB"/>
        </w:rPr>
        <w:t xml:space="preserve"> </w:t>
      </w:r>
      <w:r w:rsidRPr="00F0716B">
        <w:rPr>
          <w:i/>
          <w:iCs/>
          <w:lang w:val="en-GB"/>
        </w:rPr>
        <w:t>Atmospheric Pollution Research</w:t>
      </w:r>
      <w:r w:rsidR="0046763E" w:rsidRPr="00F0716B">
        <w:rPr>
          <w:lang w:val="en-GB"/>
        </w:rPr>
        <w:t>,</w:t>
      </w:r>
      <w:r w:rsidRPr="00F0716B">
        <w:rPr>
          <w:lang w:val="en-GB"/>
        </w:rPr>
        <w:t xml:space="preserve"> </w:t>
      </w:r>
      <w:r w:rsidRPr="00F0716B">
        <w:rPr>
          <w:i/>
          <w:iCs/>
          <w:lang w:val="en-GB"/>
        </w:rPr>
        <w:t>13</w:t>
      </w:r>
      <w:r w:rsidR="0046763E" w:rsidRPr="00F0716B">
        <w:rPr>
          <w:lang w:val="en-GB"/>
        </w:rPr>
        <w:t>,</w:t>
      </w:r>
      <w:r w:rsidR="000007B5" w:rsidRPr="00F0716B">
        <w:rPr>
          <w:lang w:val="en-GB"/>
        </w:rPr>
        <w:t xml:space="preserve"> 101373.</w:t>
      </w:r>
      <w:r w:rsidR="0046763E" w:rsidRPr="00F0716B">
        <w:rPr>
          <w:lang w:val="en-GB"/>
        </w:rPr>
        <w:t xml:space="preserve"> https://doi.org/</w:t>
      </w:r>
      <w:r w:rsidRPr="00F0716B">
        <w:rPr>
          <w:lang w:val="en-GB"/>
        </w:rPr>
        <w:t>10.1016/j.apr.2022.101373</w:t>
      </w:r>
    </w:p>
    <w:p w14:paraId="3D50F341" w14:textId="77777777" w:rsidR="006C38C9" w:rsidRPr="00F0716B" w:rsidRDefault="006C38C9" w:rsidP="005831FC">
      <w:pPr>
        <w:pStyle w:val="Rlit"/>
        <w:rPr>
          <w:lang w:val="en-GB"/>
        </w:rPr>
      </w:pPr>
      <w:proofErr w:type="spellStart"/>
      <w:r w:rsidRPr="00F0716B">
        <w:rPr>
          <w:lang w:val="en-GB"/>
        </w:rPr>
        <w:t>Dąbek</w:t>
      </w:r>
      <w:proofErr w:type="spellEnd"/>
      <w:r w:rsidRPr="00F0716B">
        <w:rPr>
          <w:lang w:val="en-GB"/>
        </w:rPr>
        <w:t xml:space="preserve">, L., </w:t>
      </w:r>
      <w:proofErr w:type="spellStart"/>
      <w:r w:rsidRPr="00F0716B">
        <w:rPr>
          <w:lang w:val="en-GB"/>
        </w:rPr>
        <w:t>Ozimina</w:t>
      </w:r>
      <w:proofErr w:type="spellEnd"/>
      <w:r w:rsidRPr="00F0716B">
        <w:rPr>
          <w:lang w:val="en-GB"/>
        </w:rPr>
        <w:t xml:space="preserve">, E., </w:t>
      </w:r>
      <w:proofErr w:type="spellStart"/>
      <w:r w:rsidRPr="00F0716B">
        <w:rPr>
          <w:lang w:val="en-GB"/>
        </w:rPr>
        <w:t>Picheta-Oleś</w:t>
      </w:r>
      <w:proofErr w:type="spellEnd"/>
      <w:r w:rsidRPr="00F0716B">
        <w:rPr>
          <w:lang w:val="en-GB"/>
        </w:rPr>
        <w:t>, A. (2012). Dye removal efficiency of virgin activated carbon and activated carbon regenerated with Fenton</w:t>
      </w:r>
      <w:r w:rsidR="00680C40">
        <w:rPr>
          <w:lang w:val="en-GB"/>
        </w:rPr>
        <w:t>'</w:t>
      </w:r>
      <w:r w:rsidRPr="00F0716B">
        <w:rPr>
          <w:lang w:val="en-GB"/>
        </w:rPr>
        <w:t>s reagent</w:t>
      </w:r>
      <w:r w:rsidR="00640F2E" w:rsidRPr="00F0716B">
        <w:rPr>
          <w:lang w:val="en-GB"/>
        </w:rPr>
        <w:t>.</w:t>
      </w:r>
      <w:r w:rsidRPr="00F0716B">
        <w:rPr>
          <w:lang w:val="en-GB"/>
        </w:rPr>
        <w:t xml:space="preserve"> </w:t>
      </w:r>
      <w:r w:rsidRPr="00F0716B">
        <w:rPr>
          <w:i/>
          <w:iCs/>
          <w:lang w:val="en-GB"/>
        </w:rPr>
        <w:t>Environment Protection Engineering</w:t>
      </w:r>
      <w:r w:rsidRPr="00F0716B">
        <w:rPr>
          <w:lang w:val="en-GB"/>
        </w:rPr>
        <w:t xml:space="preserve">, </w:t>
      </w:r>
      <w:r w:rsidRPr="00F0716B">
        <w:rPr>
          <w:i/>
          <w:iCs/>
          <w:lang w:val="en-GB"/>
        </w:rPr>
        <w:t>38</w:t>
      </w:r>
      <w:r w:rsidRPr="00F0716B">
        <w:rPr>
          <w:lang w:val="en-GB"/>
        </w:rPr>
        <w:t>, 5-13.</w:t>
      </w:r>
    </w:p>
    <w:p w14:paraId="6590E006" w14:textId="77777777" w:rsidR="00D3066D" w:rsidRPr="00F0716B" w:rsidRDefault="00D3066D" w:rsidP="005831FC">
      <w:pPr>
        <w:pStyle w:val="Rlit"/>
        <w:rPr>
          <w:lang w:val="en-GB"/>
        </w:rPr>
      </w:pPr>
      <w:proofErr w:type="spellStart"/>
      <w:r w:rsidRPr="00F0716B">
        <w:rPr>
          <w:lang w:val="en-GB"/>
        </w:rPr>
        <w:t>Dąbek</w:t>
      </w:r>
      <w:proofErr w:type="spellEnd"/>
      <w:r w:rsidRPr="00F0716B">
        <w:rPr>
          <w:lang w:val="en-GB"/>
        </w:rPr>
        <w:t>, L.,</w:t>
      </w:r>
      <w:r w:rsidR="00737DBF" w:rsidRPr="00F0716B">
        <w:rPr>
          <w:lang w:val="en-GB"/>
        </w:rPr>
        <w:t xml:space="preserve"> </w:t>
      </w:r>
      <w:proofErr w:type="spellStart"/>
      <w:r w:rsidRPr="00F0716B">
        <w:rPr>
          <w:lang w:val="en-GB"/>
        </w:rPr>
        <w:t>Świątkowski</w:t>
      </w:r>
      <w:proofErr w:type="spellEnd"/>
      <w:r w:rsidRPr="00F0716B">
        <w:rPr>
          <w:lang w:val="en-GB"/>
        </w:rPr>
        <w:t xml:space="preserve">, A., </w:t>
      </w:r>
      <w:proofErr w:type="spellStart"/>
      <w:r w:rsidRPr="00F0716B">
        <w:rPr>
          <w:lang w:val="en-GB"/>
        </w:rPr>
        <w:t>Dziaduszek</w:t>
      </w:r>
      <w:proofErr w:type="spellEnd"/>
      <w:r w:rsidRPr="00F0716B">
        <w:rPr>
          <w:lang w:val="en-GB"/>
        </w:rPr>
        <w:t>, J. (2002). Studies on the utilisation of spent palladium-activated carbon (Pd/AC) catalysts</w:t>
      </w:r>
      <w:r w:rsidR="00640F2E" w:rsidRPr="00F0716B">
        <w:rPr>
          <w:lang w:val="en-GB"/>
        </w:rPr>
        <w:t>.</w:t>
      </w:r>
      <w:r w:rsidRPr="00F0716B">
        <w:rPr>
          <w:lang w:val="en-GB"/>
        </w:rPr>
        <w:t xml:space="preserve"> </w:t>
      </w:r>
      <w:r w:rsidRPr="00F0716B">
        <w:rPr>
          <w:i/>
          <w:iCs/>
          <w:lang w:val="en-GB"/>
        </w:rPr>
        <w:t>Adsorption Science and Technology</w:t>
      </w:r>
      <w:r w:rsidRPr="00F0716B">
        <w:rPr>
          <w:lang w:val="en-GB"/>
        </w:rPr>
        <w:t xml:space="preserve">, </w:t>
      </w:r>
      <w:r w:rsidRPr="00F0716B">
        <w:rPr>
          <w:i/>
          <w:iCs/>
          <w:lang w:val="en-GB"/>
        </w:rPr>
        <w:t>20</w:t>
      </w:r>
      <w:r w:rsidRPr="00F0716B">
        <w:rPr>
          <w:lang w:val="en-GB"/>
        </w:rPr>
        <w:t>, 683</w:t>
      </w:r>
      <w:r w:rsidR="00640F2E" w:rsidRPr="00F0716B">
        <w:rPr>
          <w:lang w:val="en-GB"/>
        </w:rPr>
        <w:t>-</w:t>
      </w:r>
      <w:r w:rsidRPr="00F0716B">
        <w:rPr>
          <w:lang w:val="en-GB"/>
        </w:rPr>
        <w:t>693. https://doi.org/10.1260/02636170260504369</w:t>
      </w:r>
    </w:p>
    <w:p w14:paraId="01EF371A" w14:textId="77777777" w:rsidR="00C96B16" w:rsidRPr="00F0716B" w:rsidRDefault="00C96B16" w:rsidP="005831FC">
      <w:pPr>
        <w:pStyle w:val="Rlit"/>
        <w:rPr>
          <w:lang w:val="en-GB"/>
        </w:rPr>
      </w:pPr>
      <w:proofErr w:type="spellStart"/>
      <w:r w:rsidRPr="00F0716B">
        <w:rPr>
          <w:lang w:val="en-GB"/>
        </w:rPr>
        <w:lastRenderedPageBreak/>
        <w:t>Dharmasastha</w:t>
      </w:r>
      <w:proofErr w:type="spellEnd"/>
      <w:r w:rsidRPr="00F0716B">
        <w:rPr>
          <w:lang w:val="en-GB"/>
        </w:rPr>
        <w:t xml:space="preserve">, K., Samuel, L., Shiva Nagendra S.M., </w:t>
      </w:r>
      <w:proofErr w:type="spellStart"/>
      <w:r w:rsidRPr="00F0716B">
        <w:rPr>
          <w:lang w:val="en-GB"/>
        </w:rPr>
        <w:t>Maiya</w:t>
      </w:r>
      <w:proofErr w:type="spellEnd"/>
      <w:r w:rsidRPr="00F0716B">
        <w:rPr>
          <w:lang w:val="en-GB"/>
        </w:rPr>
        <w:t>, M.P. (2022).</w:t>
      </w:r>
      <w:r w:rsidR="000007B5" w:rsidRPr="00F0716B">
        <w:rPr>
          <w:lang w:val="en-GB"/>
        </w:rPr>
        <w:t xml:space="preserve"> Impact of indoor heat load and natural ventilation on thermal comfort of radiant cooling system: An experimental study</w:t>
      </w:r>
      <w:r w:rsidR="00640F2E" w:rsidRPr="00F0716B">
        <w:rPr>
          <w:lang w:val="en-GB"/>
        </w:rPr>
        <w:t>.</w:t>
      </w:r>
      <w:r w:rsidR="000007B5" w:rsidRPr="00F0716B">
        <w:rPr>
          <w:lang w:val="en-GB"/>
        </w:rPr>
        <w:t xml:space="preserve"> </w:t>
      </w:r>
      <w:r w:rsidRPr="00F0716B">
        <w:rPr>
          <w:i/>
          <w:iCs/>
          <w:lang w:val="en-GB"/>
        </w:rPr>
        <w:t>Ene</w:t>
      </w:r>
      <w:r w:rsidR="000007B5" w:rsidRPr="00F0716B">
        <w:rPr>
          <w:i/>
          <w:iCs/>
          <w:lang w:val="en-GB"/>
        </w:rPr>
        <w:t>rgy and Built Environment</w:t>
      </w:r>
      <w:r w:rsidR="00640F2E" w:rsidRPr="00F0716B">
        <w:rPr>
          <w:lang w:val="en-GB"/>
        </w:rPr>
        <w:t xml:space="preserve">, </w:t>
      </w:r>
      <w:r w:rsidR="00640F2E" w:rsidRPr="00F0716B">
        <w:rPr>
          <w:i/>
          <w:iCs/>
          <w:lang w:val="en-GB"/>
        </w:rPr>
        <w:t>4</w:t>
      </w:r>
      <w:r w:rsidR="00640F2E" w:rsidRPr="00F0716B">
        <w:rPr>
          <w:lang w:val="en-GB"/>
        </w:rPr>
        <w:t>(3).</w:t>
      </w:r>
      <w:r w:rsidRPr="00F0716B">
        <w:rPr>
          <w:lang w:val="en-GB"/>
        </w:rPr>
        <w:t xml:space="preserve"> https://doi.org/10.1016/j.enbenv.2022.04.003</w:t>
      </w:r>
    </w:p>
    <w:p w14:paraId="512189A8" w14:textId="77777777" w:rsidR="003D5F47" w:rsidRPr="00F0716B" w:rsidRDefault="00D3066D" w:rsidP="005831FC">
      <w:pPr>
        <w:pStyle w:val="Rlit"/>
        <w:rPr>
          <w:spacing w:val="-2"/>
          <w:lang w:val="en-GB"/>
        </w:rPr>
      </w:pPr>
      <w:proofErr w:type="spellStart"/>
      <w:r w:rsidRPr="00F0716B">
        <w:rPr>
          <w:spacing w:val="-2"/>
          <w:lang w:val="en-GB"/>
        </w:rPr>
        <w:t>Dudkiewicz</w:t>
      </w:r>
      <w:proofErr w:type="spellEnd"/>
      <w:r w:rsidR="00C638BB" w:rsidRPr="00F0716B">
        <w:rPr>
          <w:spacing w:val="-2"/>
          <w:lang w:val="en-GB"/>
        </w:rPr>
        <w:t>,</w:t>
      </w:r>
      <w:r w:rsidRPr="00F0716B">
        <w:rPr>
          <w:spacing w:val="-2"/>
          <w:lang w:val="en-GB"/>
        </w:rPr>
        <w:t xml:space="preserve"> E., </w:t>
      </w:r>
      <w:proofErr w:type="spellStart"/>
      <w:r w:rsidRPr="00F0716B">
        <w:rPr>
          <w:spacing w:val="-2"/>
          <w:lang w:val="en-GB"/>
        </w:rPr>
        <w:t>Jeżowiecki</w:t>
      </w:r>
      <w:proofErr w:type="spellEnd"/>
      <w:r w:rsidR="00C638BB" w:rsidRPr="00F0716B">
        <w:rPr>
          <w:spacing w:val="-2"/>
          <w:lang w:val="en-GB"/>
        </w:rPr>
        <w:t>, J. (2009).</w:t>
      </w:r>
      <w:r w:rsidRPr="00F0716B">
        <w:rPr>
          <w:spacing w:val="-2"/>
          <w:lang w:val="en-GB"/>
        </w:rPr>
        <w:t xml:space="preserve"> </w:t>
      </w:r>
      <w:proofErr w:type="spellStart"/>
      <w:r w:rsidRPr="00F0716B">
        <w:rPr>
          <w:spacing w:val="-2"/>
          <w:lang w:val="en-GB"/>
        </w:rPr>
        <w:t>Dyskomfort</w:t>
      </w:r>
      <w:proofErr w:type="spellEnd"/>
      <w:r w:rsidRPr="00F0716B">
        <w:rPr>
          <w:spacing w:val="-2"/>
          <w:lang w:val="en-GB"/>
        </w:rPr>
        <w:t xml:space="preserve"> </w:t>
      </w:r>
      <w:proofErr w:type="spellStart"/>
      <w:r w:rsidRPr="00F0716B">
        <w:rPr>
          <w:spacing w:val="-2"/>
          <w:lang w:val="en-GB"/>
        </w:rPr>
        <w:t>lokalny</w:t>
      </w:r>
      <w:proofErr w:type="spellEnd"/>
      <w:r w:rsidRPr="00F0716B">
        <w:rPr>
          <w:spacing w:val="-2"/>
          <w:lang w:val="en-GB"/>
        </w:rPr>
        <w:t xml:space="preserve"> </w:t>
      </w:r>
      <w:proofErr w:type="spellStart"/>
      <w:r w:rsidRPr="00F0716B">
        <w:rPr>
          <w:spacing w:val="-2"/>
          <w:lang w:val="en-GB"/>
        </w:rPr>
        <w:t>na</w:t>
      </w:r>
      <w:proofErr w:type="spellEnd"/>
      <w:r w:rsidRPr="00F0716B">
        <w:rPr>
          <w:spacing w:val="-2"/>
          <w:lang w:val="en-GB"/>
        </w:rPr>
        <w:t xml:space="preserve"> </w:t>
      </w:r>
      <w:proofErr w:type="spellStart"/>
      <w:r w:rsidRPr="00F0716B">
        <w:rPr>
          <w:spacing w:val="-2"/>
          <w:lang w:val="en-GB"/>
        </w:rPr>
        <w:t>stanowisku</w:t>
      </w:r>
      <w:proofErr w:type="spellEnd"/>
      <w:r w:rsidRPr="00F0716B">
        <w:rPr>
          <w:spacing w:val="-2"/>
          <w:lang w:val="en-GB"/>
        </w:rPr>
        <w:t xml:space="preserve"> </w:t>
      </w:r>
      <w:proofErr w:type="spellStart"/>
      <w:r w:rsidRPr="00F0716B">
        <w:rPr>
          <w:spacing w:val="-2"/>
          <w:lang w:val="en-GB"/>
        </w:rPr>
        <w:t>pracy</w:t>
      </w:r>
      <w:proofErr w:type="spellEnd"/>
      <w:r w:rsidRPr="00F0716B">
        <w:rPr>
          <w:spacing w:val="-2"/>
          <w:lang w:val="en-GB"/>
        </w:rPr>
        <w:t xml:space="preserve">, </w:t>
      </w:r>
      <w:proofErr w:type="spellStart"/>
      <w:r w:rsidR="00C638BB" w:rsidRPr="00F0716B">
        <w:rPr>
          <w:i/>
          <w:iCs/>
          <w:spacing w:val="-2"/>
          <w:lang w:val="en-GB"/>
        </w:rPr>
        <w:t>Rocznik</w:t>
      </w:r>
      <w:proofErr w:type="spellEnd"/>
      <w:r w:rsidR="00C638BB" w:rsidRPr="00F0716B">
        <w:rPr>
          <w:i/>
          <w:iCs/>
          <w:spacing w:val="-2"/>
          <w:lang w:val="en-GB"/>
        </w:rPr>
        <w:t xml:space="preserve"> </w:t>
      </w:r>
      <w:proofErr w:type="spellStart"/>
      <w:r w:rsidR="00C638BB" w:rsidRPr="00F0716B">
        <w:rPr>
          <w:i/>
          <w:iCs/>
          <w:spacing w:val="-2"/>
          <w:lang w:val="en-GB"/>
        </w:rPr>
        <w:t>Ochrona</w:t>
      </w:r>
      <w:proofErr w:type="spellEnd"/>
      <w:r w:rsidRPr="00F0716B">
        <w:rPr>
          <w:i/>
          <w:iCs/>
          <w:spacing w:val="-2"/>
          <w:lang w:val="en-GB"/>
        </w:rPr>
        <w:t xml:space="preserve"> </w:t>
      </w:r>
      <w:proofErr w:type="spellStart"/>
      <w:r w:rsidRPr="00F0716B">
        <w:rPr>
          <w:i/>
          <w:iCs/>
          <w:spacing w:val="-2"/>
          <w:lang w:val="en-GB"/>
        </w:rPr>
        <w:t>Środowiska</w:t>
      </w:r>
      <w:proofErr w:type="spellEnd"/>
      <w:r w:rsidRPr="00F0716B">
        <w:rPr>
          <w:spacing w:val="-2"/>
          <w:lang w:val="en-GB"/>
        </w:rPr>
        <w:t xml:space="preserve">, </w:t>
      </w:r>
      <w:r w:rsidRPr="00F0716B">
        <w:rPr>
          <w:i/>
          <w:iCs/>
          <w:spacing w:val="-2"/>
          <w:lang w:val="en-GB"/>
        </w:rPr>
        <w:t>11</w:t>
      </w:r>
      <w:r w:rsidR="00C638BB" w:rsidRPr="00F0716B">
        <w:rPr>
          <w:spacing w:val="-2"/>
          <w:lang w:val="en-GB"/>
        </w:rPr>
        <w:t>,</w:t>
      </w:r>
      <w:r w:rsidR="00737DBF" w:rsidRPr="00F0716B">
        <w:rPr>
          <w:spacing w:val="-2"/>
          <w:lang w:val="en-GB"/>
        </w:rPr>
        <w:t xml:space="preserve"> </w:t>
      </w:r>
      <w:r w:rsidRPr="00F0716B">
        <w:rPr>
          <w:spacing w:val="-2"/>
          <w:lang w:val="en-GB"/>
        </w:rPr>
        <w:t>751-759.</w:t>
      </w:r>
      <w:r w:rsidR="005A0DAD" w:rsidRPr="00F0716B">
        <w:rPr>
          <w:spacing w:val="-2"/>
          <w:lang w:val="en-GB"/>
        </w:rPr>
        <w:t xml:space="preserve"> (in Polish)</w:t>
      </w:r>
    </w:p>
    <w:p w14:paraId="0EAAC821" w14:textId="77777777" w:rsidR="00D1381B" w:rsidRPr="00F0716B" w:rsidRDefault="00D1381B" w:rsidP="005831FC">
      <w:pPr>
        <w:pStyle w:val="Rlit"/>
        <w:rPr>
          <w:lang w:val="en-GB"/>
        </w:rPr>
      </w:pPr>
      <w:proofErr w:type="spellStart"/>
      <w:r w:rsidRPr="00F0716B">
        <w:rPr>
          <w:lang w:val="en-GB"/>
        </w:rPr>
        <w:t>Fanger</w:t>
      </w:r>
      <w:proofErr w:type="spellEnd"/>
      <w:r w:rsidRPr="00F0716B">
        <w:rPr>
          <w:lang w:val="en-GB"/>
        </w:rPr>
        <w:t xml:space="preserve">, P.O. (1974). </w:t>
      </w:r>
      <w:r w:rsidRPr="00F0716B">
        <w:rPr>
          <w:i/>
          <w:iCs/>
          <w:lang w:val="en-GB"/>
        </w:rPr>
        <w:t>Thermal Comfort, Analysis and Applications in Environmental Engineering</w:t>
      </w:r>
      <w:r w:rsidRPr="00F0716B">
        <w:rPr>
          <w:lang w:val="en-GB"/>
        </w:rPr>
        <w:t>. Copenhagen: Danish Technical Press.</w:t>
      </w:r>
    </w:p>
    <w:p w14:paraId="48CC5927" w14:textId="77777777" w:rsidR="007E2A5A" w:rsidRPr="00F0716B" w:rsidRDefault="007E2A5A" w:rsidP="005831FC">
      <w:pPr>
        <w:pStyle w:val="Rlit"/>
        <w:rPr>
          <w:lang w:val="en-GB"/>
        </w:rPr>
      </w:pPr>
      <w:r w:rsidRPr="00F0716B">
        <w:rPr>
          <w:lang w:val="en-GB"/>
        </w:rPr>
        <w:t xml:space="preserve">Hu, J., He, Y., Hao, X., Li, N., </w:t>
      </w:r>
      <w:proofErr w:type="spellStart"/>
      <w:r w:rsidRPr="00F0716B">
        <w:rPr>
          <w:lang w:val="en-GB"/>
        </w:rPr>
        <w:t>Su</w:t>
      </w:r>
      <w:proofErr w:type="spellEnd"/>
      <w:r w:rsidRPr="00F0716B">
        <w:rPr>
          <w:lang w:val="en-GB"/>
        </w:rPr>
        <w:t>, Y., Qu, H. (2022).</w:t>
      </w:r>
      <w:r w:rsidR="000007B5" w:rsidRPr="00F0716B">
        <w:rPr>
          <w:lang w:val="en-GB"/>
        </w:rPr>
        <w:t xml:space="preserve"> Optimal temperature ranges considering gender differences in thermal comfort, work performance, and sick building syndrome: A winter field study in university classrooms</w:t>
      </w:r>
      <w:r w:rsidR="00E743A6" w:rsidRPr="00F0716B">
        <w:rPr>
          <w:lang w:val="en-GB"/>
        </w:rPr>
        <w:t>.</w:t>
      </w:r>
      <w:r w:rsidRPr="00F0716B">
        <w:rPr>
          <w:lang w:val="en-GB"/>
        </w:rPr>
        <w:t xml:space="preserve"> </w:t>
      </w:r>
      <w:r w:rsidRPr="00F0716B">
        <w:rPr>
          <w:i/>
          <w:iCs/>
          <w:lang w:val="en-GB"/>
        </w:rPr>
        <w:t>Energy and Buildings</w:t>
      </w:r>
      <w:r w:rsidRPr="00F0716B">
        <w:rPr>
          <w:lang w:val="en-GB"/>
        </w:rPr>
        <w:t xml:space="preserve">, </w:t>
      </w:r>
      <w:r w:rsidRPr="00F0716B">
        <w:rPr>
          <w:i/>
          <w:iCs/>
          <w:lang w:val="en-GB"/>
        </w:rPr>
        <w:t>254</w:t>
      </w:r>
      <w:r w:rsidR="000007B5" w:rsidRPr="00F0716B">
        <w:rPr>
          <w:lang w:val="en-GB"/>
        </w:rPr>
        <w:t>,</w:t>
      </w:r>
      <w:r w:rsidRPr="00F0716B">
        <w:rPr>
          <w:lang w:val="en-GB"/>
        </w:rPr>
        <w:t xml:space="preserve"> </w:t>
      </w:r>
      <w:r w:rsidR="000007B5" w:rsidRPr="00F0716B">
        <w:rPr>
          <w:lang w:val="en-GB"/>
        </w:rPr>
        <w:t xml:space="preserve">111554. </w:t>
      </w:r>
      <w:r w:rsidRPr="00F0716B">
        <w:rPr>
          <w:lang w:val="en-GB"/>
        </w:rPr>
        <w:t>https://doi.org/10.1016/j.enbuild.2021.111554</w:t>
      </w:r>
    </w:p>
    <w:p w14:paraId="62850BBA" w14:textId="77777777" w:rsidR="00E52D38" w:rsidRPr="00F0716B" w:rsidRDefault="00E52D38" w:rsidP="005A0DAD">
      <w:pPr>
        <w:pStyle w:val="Rlit"/>
        <w:rPr>
          <w:spacing w:val="-2"/>
          <w:lang w:val="en-GB"/>
        </w:rPr>
      </w:pPr>
      <w:proofErr w:type="spellStart"/>
      <w:r w:rsidRPr="00F0716B">
        <w:rPr>
          <w:spacing w:val="-2"/>
          <w:lang w:val="en-GB"/>
        </w:rPr>
        <w:t>Indraganti</w:t>
      </w:r>
      <w:proofErr w:type="spellEnd"/>
      <w:r w:rsidR="006C38C9" w:rsidRPr="00F0716B">
        <w:rPr>
          <w:spacing w:val="-2"/>
          <w:lang w:val="en-GB"/>
        </w:rPr>
        <w:t>,</w:t>
      </w:r>
      <w:r w:rsidRPr="00F0716B">
        <w:rPr>
          <w:spacing w:val="-2"/>
          <w:lang w:val="en-GB"/>
        </w:rPr>
        <w:t xml:space="preserve"> M., </w:t>
      </w:r>
      <w:proofErr w:type="spellStart"/>
      <w:r w:rsidRPr="00F0716B">
        <w:rPr>
          <w:spacing w:val="-2"/>
          <w:lang w:val="en-GB"/>
        </w:rPr>
        <w:t>Ooka</w:t>
      </w:r>
      <w:proofErr w:type="spellEnd"/>
      <w:r w:rsidR="006C38C9" w:rsidRPr="00F0716B">
        <w:rPr>
          <w:spacing w:val="-2"/>
          <w:lang w:val="en-GB"/>
        </w:rPr>
        <w:t>,</w:t>
      </w:r>
      <w:r w:rsidRPr="00F0716B">
        <w:rPr>
          <w:spacing w:val="-2"/>
          <w:lang w:val="en-GB"/>
        </w:rPr>
        <w:t xml:space="preserve"> R., </w:t>
      </w:r>
      <w:proofErr w:type="spellStart"/>
      <w:r w:rsidRPr="00F0716B">
        <w:rPr>
          <w:spacing w:val="-2"/>
          <w:lang w:val="en-GB"/>
        </w:rPr>
        <w:t>Rijal</w:t>
      </w:r>
      <w:proofErr w:type="spellEnd"/>
      <w:r w:rsidR="006C38C9" w:rsidRPr="00F0716B">
        <w:rPr>
          <w:spacing w:val="-2"/>
          <w:lang w:val="en-GB"/>
        </w:rPr>
        <w:t>,</w:t>
      </w:r>
      <w:r w:rsidRPr="00F0716B">
        <w:rPr>
          <w:spacing w:val="-2"/>
          <w:lang w:val="en-GB"/>
        </w:rPr>
        <w:t xml:space="preserve"> H.B.</w:t>
      </w:r>
      <w:r w:rsidR="006C38C9" w:rsidRPr="00F0716B">
        <w:rPr>
          <w:spacing w:val="-2"/>
          <w:lang w:val="en-GB"/>
        </w:rPr>
        <w:t xml:space="preserve"> (2013).</w:t>
      </w:r>
      <w:r w:rsidRPr="00F0716B">
        <w:rPr>
          <w:spacing w:val="-2"/>
          <w:lang w:val="en-GB"/>
        </w:rPr>
        <w:t xml:space="preserve"> Field investigation of comfort temperature in Indian office buildings: A</w:t>
      </w:r>
      <w:r w:rsidR="005A0DAD" w:rsidRPr="00F0716B">
        <w:rPr>
          <w:spacing w:val="-2"/>
          <w:lang w:val="en-GB"/>
        </w:rPr>
        <w:t xml:space="preserve"> </w:t>
      </w:r>
      <w:r w:rsidRPr="00F0716B">
        <w:rPr>
          <w:spacing w:val="-2"/>
          <w:lang w:val="en-GB"/>
        </w:rPr>
        <w:t>case of Chennai and Hyderabad</w:t>
      </w:r>
      <w:r w:rsidR="00E743A6" w:rsidRPr="00F0716B">
        <w:rPr>
          <w:spacing w:val="-2"/>
          <w:lang w:val="en-GB"/>
        </w:rPr>
        <w:t>.</w:t>
      </w:r>
      <w:r w:rsidRPr="00F0716B">
        <w:rPr>
          <w:spacing w:val="-2"/>
          <w:lang w:val="en-GB"/>
        </w:rPr>
        <w:t xml:space="preserve"> </w:t>
      </w:r>
      <w:r w:rsidRPr="00F0716B">
        <w:rPr>
          <w:i/>
          <w:iCs/>
          <w:spacing w:val="-2"/>
          <w:lang w:val="en-GB"/>
        </w:rPr>
        <w:t>Building and Environment</w:t>
      </w:r>
      <w:r w:rsidRPr="00F0716B">
        <w:rPr>
          <w:spacing w:val="-2"/>
          <w:lang w:val="en-GB"/>
        </w:rPr>
        <w:t>,</w:t>
      </w:r>
      <w:r w:rsidR="00737DBF" w:rsidRPr="00F0716B">
        <w:rPr>
          <w:spacing w:val="-2"/>
          <w:lang w:val="en-GB"/>
        </w:rPr>
        <w:t xml:space="preserve"> </w:t>
      </w:r>
      <w:r w:rsidRPr="00F0716B">
        <w:rPr>
          <w:i/>
          <w:iCs/>
          <w:spacing w:val="-2"/>
          <w:lang w:val="en-GB"/>
        </w:rPr>
        <w:t>65</w:t>
      </w:r>
      <w:r w:rsidRPr="00F0716B">
        <w:rPr>
          <w:spacing w:val="-2"/>
          <w:lang w:val="en-GB"/>
        </w:rPr>
        <w:t>, 195-214.</w:t>
      </w:r>
      <w:r w:rsidR="006C38C9" w:rsidRPr="00F0716B">
        <w:rPr>
          <w:spacing w:val="-2"/>
          <w:lang w:val="en-GB"/>
        </w:rPr>
        <w:t xml:space="preserve"> https://doi.org/10.1016/j.buildenv.2013.04.007</w:t>
      </w:r>
    </w:p>
    <w:p w14:paraId="251FC141" w14:textId="77777777" w:rsidR="00C638BB" w:rsidRPr="00F0716B" w:rsidRDefault="00C638BB" w:rsidP="005831FC">
      <w:pPr>
        <w:pStyle w:val="Rlit"/>
        <w:rPr>
          <w:lang w:val="en-GB"/>
        </w:rPr>
      </w:pPr>
      <w:r w:rsidRPr="00F0716B">
        <w:rPr>
          <w:lang w:val="en-GB"/>
        </w:rPr>
        <w:t xml:space="preserve">ISO Standard 7730 (2005). Ergonomics of the Thermal Environment </w:t>
      </w:r>
      <w:r w:rsidR="00E743A6" w:rsidRPr="00F0716B">
        <w:rPr>
          <w:lang w:val="en-GB"/>
        </w:rPr>
        <w:t>–</w:t>
      </w:r>
      <w:r w:rsidRPr="00F0716B">
        <w:rPr>
          <w:lang w:val="en-GB"/>
        </w:rPr>
        <w:t xml:space="preserve"> Analytical Determination and Interpretation of Thermal Comfort Using Calculation of the PMV and PPD Indices and Local Thermal Comfort Criteria;, Geneva, Switzerland, 2005.</w:t>
      </w:r>
    </w:p>
    <w:p w14:paraId="4E45968E" w14:textId="77777777" w:rsidR="00D837A6" w:rsidRPr="00F0716B" w:rsidRDefault="00D837A6" w:rsidP="005831FC">
      <w:pPr>
        <w:pStyle w:val="Rlit"/>
        <w:rPr>
          <w:lang w:val="en-GB"/>
        </w:rPr>
      </w:pPr>
      <w:proofErr w:type="spellStart"/>
      <w:r w:rsidRPr="00F0716B">
        <w:rPr>
          <w:lang w:val="en-GB"/>
        </w:rPr>
        <w:t>Koshlak</w:t>
      </w:r>
      <w:proofErr w:type="spellEnd"/>
      <w:r w:rsidRPr="00F0716B">
        <w:rPr>
          <w:lang w:val="en-GB"/>
        </w:rPr>
        <w:t>, H.,</w:t>
      </w:r>
      <w:r w:rsidR="00E743A6" w:rsidRPr="00F0716B">
        <w:rPr>
          <w:lang w:val="en-GB"/>
        </w:rPr>
        <w:t xml:space="preserve"> </w:t>
      </w:r>
      <w:proofErr w:type="spellStart"/>
      <w:r w:rsidRPr="00F0716B">
        <w:rPr>
          <w:lang w:val="en-GB"/>
        </w:rPr>
        <w:t>Pavlenko</w:t>
      </w:r>
      <w:proofErr w:type="spellEnd"/>
      <w:r w:rsidRPr="00F0716B">
        <w:rPr>
          <w:lang w:val="en-GB"/>
        </w:rPr>
        <w:t>, A. (2020). Mathematical model of particle free settling in a vortex apparatus</w:t>
      </w:r>
      <w:r w:rsidR="00E743A6" w:rsidRPr="00F0716B">
        <w:rPr>
          <w:lang w:val="en-GB"/>
        </w:rPr>
        <w:t>.</w:t>
      </w:r>
      <w:r w:rsidRPr="00F0716B">
        <w:rPr>
          <w:lang w:val="en-GB"/>
        </w:rPr>
        <w:t xml:space="preserve"> </w:t>
      </w:r>
      <w:proofErr w:type="spellStart"/>
      <w:r w:rsidRPr="00F0716B">
        <w:rPr>
          <w:i/>
          <w:iCs/>
          <w:lang w:val="en-GB"/>
        </w:rPr>
        <w:t>Rocznik</w:t>
      </w:r>
      <w:proofErr w:type="spellEnd"/>
      <w:r w:rsidRPr="00F0716B">
        <w:rPr>
          <w:i/>
          <w:iCs/>
          <w:lang w:val="en-GB"/>
        </w:rPr>
        <w:t xml:space="preserve"> </w:t>
      </w:r>
      <w:proofErr w:type="spellStart"/>
      <w:r w:rsidRPr="00F0716B">
        <w:rPr>
          <w:i/>
          <w:iCs/>
          <w:lang w:val="en-GB"/>
        </w:rPr>
        <w:t>Ochrona</w:t>
      </w:r>
      <w:proofErr w:type="spellEnd"/>
      <w:r w:rsidRPr="00F0716B">
        <w:rPr>
          <w:i/>
          <w:iCs/>
          <w:lang w:val="en-GB"/>
        </w:rPr>
        <w:t xml:space="preserve"> </w:t>
      </w:r>
      <w:proofErr w:type="spellStart"/>
      <w:r w:rsidRPr="00F0716B">
        <w:rPr>
          <w:i/>
          <w:iCs/>
          <w:lang w:val="en-GB"/>
        </w:rPr>
        <w:t>Środowiska</w:t>
      </w:r>
      <w:proofErr w:type="spellEnd"/>
      <w:r w:rsidRPr="00F0716B">
        <w:rPr>
          <w:lang w:val="en-GB"/>
        </w:rPr>
        <w:t xml:space="preserve">, </w:t>
      </w:r>
      <w:r w:rsidRPr="00F0716B">
        <w:rPr>
          <w:i/>
          <w:iCs/>
          <w:lang w:val="en-GB"/>
        </w:rPr>
        <w:t>22</w:t>
      </w:r>
      <w:r w:rsidRPr="00F0716B">
        <w:rPr>
          <w:lang w:val="en-GB"/>
        </w:rPr>
        <w:t>(2), 727</w:t>
      </w:r>
      <w:r w:rsidR="00E743A6" w:rsidRPr="00F0716B">
        <w:rPr>
          <w:lang w:val="en-GB"/>
        </w:rPr>
        <w:t>-</w:t>
      </w:r>
      <w:r w:rsidRPr="00F0716B">
        <w:rPr>
          <w:lang w:val="en-GB"/>
        </w:rPr>
        <w:t>734.</w:t>
      </w:r>
    </w:p>
    <w:p w14:paraId="5EADAB69" w14:textId="77777777" w:rsidR="001F2AFC" w:rsidRPr="00F0716B" w:rsidRDefault="001F2AFC" w:rsidP="005831FC">
      <w:pPr>
        <w:pStyle w:val="Rlit"/>
        <w:rPr>
          <w:lang w:val="en-GB"/>
        </w:rPr>
      </w:pPr>
      <w:proofErr w:type="spellStart"/>
      <w:r w:rsidRPr="00F0716B">
        <w:rPr>
          <w:lang w:val="en-GB"/>
        </w:rPr>
        <w:t>Licina</w:t>
      </w:r>
      <w:proofErr w:type="spellEnd"/>
      <w:r w:rsidR="000007B5" w:rsidRPr="00F0716B">
        <w:rPr>
          <w:lang w:val="en-GB"/>
        </w:rPr>
        <w:t xml:space="preserve">, D., </w:t>
      </w:r>
      <w:r w:rsidRPr="00F0716B">
        <w:rPr>
          <w:lang w:val="en-GB"/>
        </w:rPr>
        <w:t xml:space="preserve">Yildirim, </w:t>
      </w:r>
      <w:r w:rsidR="000007B5" w:rsidRPr="00F0716B">
        <w:rPr>
          <w:lang w:val="en-GB"/>
        </w:rPr>
        <w:t>S. (2021). Occupant satisfaction with indoor environmental quality, sick building syndrome (SBS) symptoms and self-reported productivity before and after relocation into WELL-certified office buildings</w:t>
      </w:r>
      <w:r w:rsidR="00E743A6" w:rsidRPr="00F0716B">
        <w:rPr>
          <w:lang w:val="en-GB"/>
        </w:rPr>
        <w:t>.</w:t>
      </w:r>
      <w:r w:rsidR="000007B5" w:rsidRPr="00F0716B">
        <w:rPr>
          <w:lang w:val="en-GB"/>
        </w:rPr>
        <w:t xml:space="preserve"> </w:t>
      </w:r>
      <w:r w:rsidRPr="00F0716B">
        <w:rPr>
          <w:i/>
          <w:iCs/>
          <w:lang w:val="en-GB"/>
        </w:rPr>
        <w:t>Building and Environment</w:t>
      </w:r>
      <w:r w:rsidRPr="00F0716B">
        <w:rPr>
          <w:lang w:val="en-GB"/>
        </w:rPr>
        <w:t xml:space="preserve">, </w:t>
      </w:r>
      <w:r w:rsidRPr="00F0716B">
        <w:rPr>
          <w:i/>
          <w:iCs/>
          <w:lang w:val="en-GB"/>
        </w:rPr>
        <w:t>204</w:t>
      </w:r>
      <w:r w:rsidR="000007B5" w:rsidRPr="00F0716B">
        <w:rPr>
          <w:lang w:val="en-GB"/>
        </w:rPr>
        <w:t>, 108183</w:t>
      </w:r>
      <w:r w:rsidRPr="00F0716B">
        <w:rPr>
          <w:lang w:val="en-GB"/>
        </w:rPr>
        <w:t xml:space="preserve">. </w:t>
      </w:r>
      <w:r w:rsidR="000007B5" w:rsidRPr="00F0716B">
        <w:rPr>
          <w:lang w:val="en-GB"/>
        </w:rPr>
        <w:t>https://doi.org/</w:t>
      </w:r>
      <w:r w:rsidRPr="00F0716B">
        <w:rPr>
          <w:lang w:val="en-GB"/>
        </w:rPr>
        <w:t>10.1016/j.buildenv.2021.108183</w:t>
      </w:r>
    </w:p>
    <w:p w14:paraId="4795D594" w14:textId="77777777" w:rsidR="007715B6" w:rsidRPr="00F0716B" w:rsidRDefault="007715B6" w:rsidP="005831FC">
      <w:pPr>
        <w:pStyle w:val="Rlit"/>
        <w:rPr>
          <w:lang w:val="en-GB"/>
        </w:rPr>
      </w:pPr>
      <w:proofErr w:type="spellStart"/>
      <w:r w:rsidRPr="00F0716B">
        <w:rPr>
          <w:lang w:val="en-GB"/>
        </w:rPr>
        <w:t>Maliszewska</w:t>
      </w:r>
      <w:proofErr w:type="spellEnd"/>
      <w:r w:rsidR="0011431F" w:rsidRPr="00F0716B">
        <w:rPr>
          <w:lang w:val="en-GB"/>
        </w:rPr>
        <w:t>,</w:t>
      </w:r>
      <w:r w:rsidRPr="00F0716B">
        <w:rPr>
          <w:lang w:val="en-GB"/>
        </w:rPr>
        <w:t xml:space="preserve"> A., </w:t>
      </w:r>
      <w:proofErr w:type="spellStart"/>
      <w:r w:rsidRPr="00F0716B">
        <w:rPr>
          <w:lang w:val="en-GB"/>
        </w:rPr>
        <w:t>Szkarowski</w:t>
      </w:r>
      <w:proofErr w:type="spellEnd"/>
      <w:r w:rsidR="0011431F" w:rsidRPr="00F0716B">
        <w:rPr>
          <w:lang w:val="en-GB"/>
        </w:rPr>
        <w:t>.</w:t>
      </w:r>
      <w:r w:rsidRPr="00F0716B">
        <w:rPr>
          <w:lang w:val="en-GB"/>
        </w:rPr>
        <w:t xml:space="preserve"> A., </w:t>
      </w:r>
      <w:proofErr w:type="spellStart"/>
      <w:r w:rsidRPr="00F0716B">
        <w:rPr>
          <w:lang w:val="en-GB"/>
        </w:rPr>
        <w:t>Chernykh</w:t>
      </w:r>
      <w:proofErr w:type="spellEnd"/>
      <w:r w:rsidR="0011431F" w:rsidRPr="00F0716B">
        <w:rPr>
          <w:lang w:val="en-GB"/>
        </w:rPr>
        <w:t>, A. (2019).</w:t>
      </w:r>
      <w:r w:rsidRPr="00F0716B">
        <w:rPr>
          <w:lang w:val="en-GB"/>
        </w:rPr>
        <w:t xml:space="preserve"> Normative problems of the nitrogen oxides concentration limiting in the human reside</w:t>
      </w:r>
      <w:r w:rsidR="0011431F" w:rsidRPr="00F0716B">
        <w:rPr>
          <w:lang w:val="en-GB"/>
        </w:rPr>
        <w:t>nce environment</w:t>
      </w:r>
      <w:r w:rsidR="00E743A6" w:rsidRPr="00F0716B">
        <w:rPr>
          <w:lang w:val="en-GB"/>
        </w:rPr>
        <w:t>.</w:t>
      </w:r>
      <w:r w:rsidR="0011431F" w:rsidRPr="00F0716B">
        <w:rPr>
          <w:lang w:val="en-GB"/>
        </w:rPr>
        <w:t xml:space="preserve"> </w:t>
      </w:r>
      <w:proofErr w:type="spellStart"/>
      <w:r w:rsidR="0011431F" w:rsidRPr="00F0716B">
        <w:rPr>
          <w:i/>
          <w:iCs/>
          <w:lang w:val="en-GB"/>
        </w:rPr>
        <w:t>Rocznik</w:t>
      </w:r>
      <w:proofErr w:type="spellEnd"/>
      <w:r w:rsidR="0011431F" w:rsidRPr="00F0716B">
        <w:rPr>
          <w:i/>
          <w:iCs/>
          <w:lang w:val="en-GB"/>
        </w:rPr>
        <w:t xml:space="preserve"> </w:t>
      </w:r>
      <w:proofErr w:type="spellStart"/>
      <w:r w:rsidR="0011431F" w:rsidRPr="00F0716B">
        <w:rPr>
          <w:i/>
          <w:iCs/>
          <w:lang w:val="en-GB"/>
        </w:rPr>
        <w:t>Ochrona</w:t>
      </w:r>
      <w:proofErr w:type="spellEnd"/>
      <w:r w:rsidRPr="00F0716B">
        <w:rPr>
          <w:i/>
          <w:iCs/>
          <w:lang w:val="en-GB"/>
        </w:rPr>
        <w:t xml:space="preserve"> </w:t>
      </w:r>
      <w:proofErr w:type="spellStart"/>
      <w:r w:rsidRPr="00F0716B">
        <w:rPr>
          <w:i/>
          <w:iCs/>
          <w:lang w:val="en-GB"/>
        </w:rPr>
        <w:t>Środowiska</w:t>
      </w:r>
      <w:proofErr w:type="spellEnd"/>
      <w:r w:rsidRPr="00F0716B">
        <w:rPr>
          <w:lang w:val="en-GB"/>
        </w:rPr>
        <w:t xml:space="preserve">, </w:t>
      </w:r>
      <w:r w:rsidRPr="00F0716B">
        <w:rPr>
          <w:i/>
          <w:iCs/>
          <w:lang w:val="en-GB"/>
        </w:rPr>
        <w:t>2</w:t>
      </w:r>
      <w:r w:rsidR="0011431F" w:rsidRPr="00F0716B">
        <w:rPr>
          <w:i/>
          <w:iCs/>
          <w:lang w:val="en-GB"/>
        </w:rPr>
        <w:t>1</w:t>
      </w:r>
      <w:r w:rsidRPr="00F0716B">
        <w:rPr>
          <w:lang w:val="en-GB"/>
        </w:rPr>
        <w:t>, 1328-1342.</w:t>
      </w:r>
    </w:p>
    <w:p w14:paraId="5A2F60F6" w14:textId="77777777" w:rsidR="006C38C9" w:rsidRPr="00F0716B" w:rsidRDefault="006C38C9" w:rsidP="005831FC">
      <w:pPr>
        <w:pStyle w:val="Rlit"/>
        <w:rPr>
          <w:lang w:val="en-GB"/>
        </w:rPr>
      </w:pPr>
      <w:r w:rsidRPr="00F0716B">
        <w:rPr>
          <w:lang w:val="en-GB"/>
        </w:rPr>
        <w:t>Manu, S., Shukla, Y., Rawal, R., Thomas, L.E., de Dear, R. (2016). Field study of thermal comfort cross multiple climate Jones for the subcontinent: India Model for Adaptive Comfort (IMAC)</w:t>
      </w:r>
      <w:r w:rsidR="00E743A6" w:rsidRPr="00F0716B">
        <w:rPr>
          <w:lang w:val="en-GB"/>
        </w:rPr>
        <w:t>.</w:t>
      </w:r>
      <w:r w:rsidRPr="00F0716B">
        <w:rPr>
          <w:lang w:val="en-GB"/>
        </w:rPr>
        <w:t xml:space="preserve"> </w:t>
      </w:r>
      <w:r w:rsidRPr="00F0716B">
        <w:rPr>
          <w:i/>
          <w:iCs/>
          <w:lang w:val="en-GB"/>
        </w:rPr>
        <w:t>Building and Environment</w:t>
      </w:r>
      <w:r w:rsidRPr="00F0716B">
        <w:rPr>
          <w:lang w:val="en-GB"/>
        </w:rPr>
        <w:t xml:space="preserve">, </w:t>
      </w:r>
      <w:r w:rsidRPr="00F0716B">
        <w:rPr>
          <w:i/>
          <w:iCs/>
          <w:lang w:val="en-GB"/>
        </w:rPr>
        <w:t>98</w:t>
      </w:r>
      <w:r w:rsidRPr="00F0716B">
        <w:rPr>
          <w:lang w:val="en-GB"/>
        </w:rPr>
        <w:t>, 55</w:t>
      </w:r>
      <w:r w:rsidR="00E743A6" w:rsidRPr="00F0716B">
        <w:rPr>
          <w:lang w:val="en-GB"/>
        </w:rPr>
        <w:t>-</w:t>
      </w:r>
      <w:r w:rsidRPr="00F0716B">
        <w:rPr>
          <w:lang w:val="en-GB"/>
        </w:rPr>
        <w:t>70. https://doi.org/10.1016/j.buildenv.2015.12.019</w:t>
      </w:r>
    </w:p>
    <w:p w14:paraId="66A7A12B" w14:textId="77777777" w:rsidR="00C450E0" w:rsidRPr="00F0716B" w:rsidRDefault="00C450E0" w:rsidP="005831FC">
      <w:pPr>
        <w:pStyle w:val="Rlit"/>
        <w:rPr>
          <w:lang w:val="en-GB"/>
        </w:rPr>
      </w:pPr>
      <w:proofErr w:type="spellStart"/>
      <w:r w:rsidRPr="00F0716B">
        <w:rPr>
          <w:lang w:val="en-GB"/>
        </w:rPr>
        <w:t>Mentese</w:t>
      </w:r>
      <w:proofErr w:type="spellEnd"/>
      <w:r w:rsidRPr="00F0716B">
        <w:rPr>
          <w:lang w:val="en-GB"/>
        </w:rPr>
        <w:t xml:space="preserve">, S., </w:t>
      </w:r>
      <w:proofErr w:type="spellStart"/>
      <w:r w:rsidRPr="00F0716B">
        <w:rPr>
          <w:lang w:val="en-GB"/>
        </w:rPr>
        <w:t>Mirici</w:t>
      </w:r>
      <w:proofErr w:type="spellEnd"/>
      <w:r w:rsidRPr="00F0716B">
        <w:rPr>
          <w:lang w:val="en-GB"/>
        </w:rPr>
        <w:t xml:space="preserve">, N.A., </w:t>
      </w:r>
      <w:proofErr w:type="spellStart"/>
      <w:r w:rsidRPr="00F0716B">
        <w:rPr>
          <w:lang w:val="en-GB"/>
        </w:rPr>
        <w:t>Elbir</w:t>
      </w:r>
      <w:proofErr w:type="spellEnd"/>
      <w:r w:rsidRPr="00F0716B">
        <w:rPr>
          <w:lang w:val="en-GB"/>
        </w:rPr>
        <w:t xml:space="preserve">, T., </w:t>
      </w:r>
      <w:proofErr w:type="spellStart"/>
      <w:r w:rsidRPr="00F0716B">
        <w:rPr>
          <w:lang w:val="en-GB"/>
        </w:rPr>
        <w:t>Palaz</w:t>
      </w:r>
      <w:proofErr w:type="spellEnd"/>
      <w:r w:rsidRPr="00F0716B">
        <w:rPr>
          <w:lang w:val="en-GB"/>
        </w:rPr>
        <w:t xml:space="preserve">, E., </w:t>
      </w:r>
      <w:proofErr w:type="spellStart"/>
      <w:r w:rsidRPr="00F0716B">
        <w:rPr>
          <w:lang w:val="en-GB"/>
        </w:rPr>
        <w:t>Mumcuoğlu</w:t>
      </w:r>
      <w:proofErr w:type="spellEnd"/>
      <w:r w:rsidRPr="00F0716B">
        <w:rPr>
          <w:lang w:val="en-GB"/>
        </w:rPr>
        <w:t xml:space="preserve">, D.T., </w:t>
      </w:r>
      <w:proofErr w:type="spellStart"/>
      <w:r w:rsidRPr="00F0716B">
        <w:rPr>
          <w:lang w:val="en-GB"/>
        </w:rPr>
        <w:t>Cotuker</w:t>
      </w:r>
      <w:proofErr w:type="spellEnd"/>
      <w:r w:rsidRPr="00F0716B">
        <w:rPr>
          <w:lang w:val="en-GB"/>
        </w:rPr>
        <w:t xml:space="preserve">, O., Bakar, C., </w:t>
      </w:r>
      <w:proofErr w:type="spellStart"/>
      <w:r w:rsidRPr="00F0716B">
        <w:rPr>
          <w:lang w:val="en-GB"/>
        </w:rPr>
        <w:t>Oymak</w:t>
      </w:r>
      <w:proofErr w:type="spellEnd"/>
      <w:r w:rsidRPr="00F0716B">
        <w:rPr>
          <w:lang w:val="en-GB"/>
        </w:rPr>
        <w:t xml:space="preserve">, S., </w:t>
      </w:r>
      <w:proofErr w:type="spellStart"/>
      <w:r w:rsidRPr="00F0716B">
        <w:rPr>
          <w:lang w:val="en-GB"/>
        </w:rPr>
        <w:t>Otkun</w:t>
      </w:r>
      <w:proofErr w:type="spellEnd"/>
      <w:r w:rsidRPr="00F0716B">
        <w:rPr>
          <w:lang w:val="en-GB"/>
        </w:rPr>
        <w:t>, M.T. (2020).</w:t>
      </w:r>
      <w:r w:rsidR="00FB0E22" w:rsidRPr="00F0716B">
        <w:rPr>
          <w:lang w:val="en-GB"/>
        </w:rPr>
        <w:t xml:space="preserve"> A</w:t>
      </w:r>
      <w:r w:rsidR="00E743A6" w:rsidRPr="00F0716B">
        <w:rPr>
          <w:lang w:val="en-GB"/>
        </w:rPr>
        <w:t> </w:t>
      </w:r>
      <w:r w:rsidR="00FB0E22" w:rsidRPr="00F0716B">
        <w:rPr>
          <w:lang w:val="en-GB"/>
        </w:rPr>
        <w:t>long-term multi-parametric monitoring study: Indoor air quality (IAQ) and the sources of the pollutants, prevalence of sick building syndrome (SBS) symptoms, and respiratory health indicators</w:t>
      </w:r>
      <w:r w:rsidR="00E743A6" w:rsidRPr="00F0716B">
        <w:rPr>
          <w:lang w:val="en-GB"/>
        </w:rPr>
        <w:t>.</w:t>
      </w:r>
      <w:r w:rsidRPr="00F0716B">
        <w:rPr>
          <w:lang w:val="en-GB"/>
        </w:rPr>
        <w:t xml:space="preserve"> </w:t>
      </w:r>
      <w:r w:rsidRPr="00F0716B">
        <w:rPr>
          <w:i/>
          <w:iCs/>
          <w:lang w:val="en-GB"/>
        </w:rPr>
        <w:t>Atmospheric Pollution Research</w:t>
      </w:r>
      <w:r w:rsidRPr="00F0716B">
        <w:rPr>
          <w:lang w:val="en-GB"/>
        </w:rPr>
        <w:t xml:space="preserve">, </w:t>
      </w:r>
      <w:r w:rsidRPr="00F0716B">
        <w:rPr>
          <w:i/>
          <w:iCs/>
          <w:lang w:val="en-GB"/>
        </w:rPr>
        <w:t>11</w:t>
      </w:r>
      <w:r w:rsidRPr="00F0716B">
        <w:rPr>
          <w:lang w:val="en-GB"/>
        </w:rPr>
        <w:t>, 2270-2281. https://doi.org/10.1016/j.apr.2020.07.016</w:t>
      </w:r>
    </w:p>
    <w:p w14:paraId="47DEECBA" w14:textId="77777777" w:rsidR="007E4DFB" w:rsidRPr="00F0716B" w:rsidRDefault="007E4DFB" w:rsidP="005831FC">
      <w:pPr>
        <w:pStyle w:val="Rlit"/>
        <w:rPr>
          <w:lang w:val="en-GB"/>
        </w:rPr>
      </w:pPr>
      <w:r w:rsidRPr="00F0716B">
        <w:rPr>
          <w:lang w:val="en-GB"/>
        </w:rPr>
        <w:t>Orman</w:t>
      </w:r>
      <w:r w:rsidR="00CB059B" w:rsidRPr="00F0716B">
        <w:rPr>
          <w:lang w:val="en-GB"/>
        </w:rPr>
        <w:t>,</w:t>
      </w:r>
      <w:r w:rsidRPr="00F0716B">
        <w:rPr>
          <w:lang w:val="en-GB"/>
        </w:rPr>
        <w:t xml:space="preserve"> Ł.J. (2014). Boiling heat transfer on meshed surfaces of different aperture</w:t>
      </w:r>
      <w:r w:rsidR="00E743A6" w:rsidRPr="00F0716B">
        <w:rPr>
          <w:lang w:val="en-GB"/>
        </w:rPr>
        <w:t>.</w:t>
      </w:r>
      <w:r w:rsidRPr="00F0716B">
        <w:rPr>
          <w:lang w:val="en-GB"/>
        </w:rPr>
        <w:t xml:space="preserve"> </w:t>
      </w:r>
      <w:r w:rsidRPr="00F0716B">
        <w:rPr>
          <w:i/>
          <w:iCs/>
          <w:lang w:val="en-GB"/>
        </w:rPr>
        <w:t>Proc of Int. Conf. on Application of Experimental and Numerical Methods in Fluid Mechanics and Energetics (Slovakia)</w:t>
      </w:r>
      <w:r w:rsidR="008D63B1" w:rsidRPr="00F0716B">
        <w:rPr>
          <w:lang w:val="en-GB"/>
        </w:rPr>
        <w:t>.</w:t>
      </w:r>
      <w:r w:rsidRPr="00F0716B">
        <w:rPr>
          <w:lang w:val="en-GB"/>
        </w:rPr>
        <w:t xml:space="preserve"> </w:t>
      </w:r>
      <w:r w:rsidRPr="00F0716B">
        <w:rPr>
          <w:i/>
          <w:iCs/>
          <w:lang w:val="en-GB"/>
        </w:rPr>
        <w:t>AIP Conference Proceedings</w:t>
      </w:r>
      <w:r w:rsidRPr="00F0716B">
        <w:rPr>
          <w:lang w:val="en-GB"/>
        </w:rPr>
        <w:t xml:space="preserve">, </w:t>
      </w:r>
      <w:r w:rsidRPr="00F0716B">
        <w:rPr>
          <w:i/>
          <w:iCs/>
          <w:lang w:val="en-GB"/>
        </w:rPr>
        <w:t>1608</w:t>
      </w:r>
      <w:r w:rsidRPr="00F0716B">
        <w:rPr>
          <w:lang w:val="en-GB"/>
        </w:rPr>
        <w:t>, 169-172. https://doi.org/10.1063/1.4892728</w:t>
      </w:r>
    </w:p>
    <w:p w14:paraId="4E2C69F2" w14:textId="77777777" w:rsidR="00CB059B" w:rsidRPr="00F0716B" w:rsidRDefault="00CB059B" w:rsidP="005831FC">
      <w:pPr>
        <w:pStyle w:val="Rlit"/>
        <w:rPr>
          <w:lang w:val="en-GB"/>
        </w:rPr>
      </w:pPr>
      <w:r w:rsidRPr="00F0716B">
        <w:rPr>
          <w:lang w:val="en-GB"/>
        </w:rPr>
        <w:t xml:space="preserve">Orman, Ł.J., </w:t>
      </w:r>
      <w:proofErr w:type="spellStart"/>
      <w:r w:rsidRPr="00F0716B">
        <w:rPr>
          <w:lang w:val="en-GB"/>
        </w:rPr>
        <w:t>Chatys</w:t>
      </w:r>
      <w:proofErr w:type="spellEnd"/>
      <w:r w:rsidRPr="00F0716B">
        <w:rPr>
          <w:lang w:val="en-GB"/>
        </w:rPr>
        <w:t>, R. (2011). Heat transfer augmentation possibility for vehicle heat exchangers</w:t>
      </w:r>
      <w:r w:rsidR="008D63B1" w:rsidRPr="00F0716B">
        <w:rPr>
          <w:lang w:val="en-GB"/>
        </w:rPr>
        <w:t>.</w:t>
      </w:r>
      <w:r w:rsidRPr="00F0716B">
        <w:rPr>
          <w:lang w:val="en-GB"/>
        </w:rPr>
        <w:t xml:space="preserve"> </w:t>
      </w:r>
      <w:r w:rsidRPr="00F0716B">
        <w:rPr>
          <w:i/>
          <w:iCs/>
          <w:lang w:val="en-GB"/>
        </w:rPr>
        <w:t>Proc. of 15th Int. Conf. "TRANSPORT MEANS" (Kaunas, Lithuania)</w:t>
      </w:r>
      <w:r w:rsidRPr="00F0716B">
        <w:rPr>
          <w:lang w:val="en-GB"/>
        </w:rPr>
        <w:t xml:space="preserve"> 9-12.</w:t>
      </w:r>
    </w:p>
    <w:p w14:paraId="18E9429B" w14:textId="77777777" w:rsidR="003D5F47" w:rsidRPr="00F0716B" w:rsidRDefault="004A50C8" w:rsidP="005831FC">
      <w:pPr>
        <w:pStyle w:val="Rlit"/>
        <w:rPr>
          <w:lang w:val="en-GB"/>
        </w:rPr>
      </w:pPr>
      <w:proofErr w:type="spellStart"/>
      <w:r w:rsidRPr="00F0716B">
        <w:rPr>
          <w:lang w:val="en-GB"/>
        </w:rPr>
        <w:t>P</w:t>
      </w:r>
      <w:r w:rsidR="003D5F47" w:rsidRPr="00F0716B">
        <w:rPr>
          <w:lang w:val="en-GB"/>
        </w:rPr>
        <w:t>afcuga</w:t>
      </w:r>
      <w:proofErr w:type="spellEnd"/>
      <w:r w:rsidRPr="00F0716B">
        <w:rPr>
          <w:lang w:val="en-GB"/>
        </w:rPr>
        <w:t>,</w:t>
      </w:r>
      <w:r w:rsidR="003D5F47" w:rsidRPr="00F0716B">
        <w:rPr>
          <w:lang w:val="en-GB"/>
        </w:rPr>
        <w:t xml:space="preserve"> M</w:t>
      </w:r>
      <w:r w:rsidRPr="00F0716B">
        <w:rPr>
          <w:lang w:val="en-GB"/>
        </w:rPr>
        <w:t>.</w:t>
      </w:r>
      <w:r w:rsidR="003D5F47" w:rsidRPr="00F0716B">
        <w:rPr>
          <w:lang w:val="en-GB"/>
        </w:rPr>
        <w:t xml:space="preserve">, </w:t>
      </w:r>
      <w:proofErr w:type="spellStart"/>
      <w:r w:rsidR="003D5F47" w:rsidRPr="00F0716B">
        <w:rPr>
          <w:lang w:val="en-GB"/>
        </w:rPr>
        <w:t>Holubcik</w:t>
      </w:r>
      <w:proofErr w:type="spellEnd"/>
      <w:r w:rsidRPr="00F0716B">
        <w:rPr>
          <w:lang w:val="en-GB"/>
        </w:rPr>
        <w:t>,</w:t>
      </w:r>
      <w:r w:rsidR="003D5F47" w:rsidRPr="00F0716B">
        <w:rPr>
          <w:lang w:val="en-GB"/>
        </w:rPr>
        <w:t xml:space="preserve"> M</w:t>
      </w:r>
      <w:r w:rsidRPr="00F0716B">
        <w:rPr>
          <w:lang w:val="en-GB"/>
        </w:rPr>
        <w:t>.</w:t>
      </w:r>
      <w:r w:rsidR="003D5F47" w:rsidRPr="00F0716B">
        <w:rPr>
          <w:lang w:val="en-GB"/>
        </w:rPr>
        <w:t xml:space="preserve">, </w:t>
      </w:r>
      <w:proofErr w:type="spellStart"/>
      <w:r w:rsidR="003D5F47" w:rsidRPr="00F0716B">
        <w:rPr>
          <w:lang w:val="en-GB"/>
        </w:rPr>
        <w:t>Durcansky</w:t>
      </w:r>
      <w:proofErr w:type="spellEnd"/>
      <w:r w:rsidRPr="00F0716B">
        <w:rPr>
          <w:lang w:val="en-GB"/>
        </w:rPr>
        <w:t>,</w:t>
      </w:r>
      <w:r w:rsidR="003D5F47" w:rsidRPr="00F0716B">
        <w:rPr>
          <w:lang w:val="en-GB"/>
        </w:rPr>
        <w:t xml:space="preserve"> P</w:t>
      </w:r>
      <w:r w:rsidRPr="00F0716B">
        <w:rPr>
          <w:lang w:val="en-GB"/>
        </w:rPr>
        <w:t>.</w:t>
      </w:r>
      <w:r w:rsidR="003D5F47" w:rsidRPr="00F0716B">
        <w:rPr>
          <w:lang w:val="en-GB"/>
        </w:rPr>
        <w:t xml:space="preserve">, </w:t>
      </w:r>
      <w:proofErr w:type="spellStart"/>
      <w:r w:rsidR="003D5F47" w:rsidRPr="00F0716B">
        <w:rPr>
          <w:lang w:val="en-GB"/>
        </w:rPr>
        <w:t>Kapjor</w:t>
      </w:r>
      <w:proofErr w:type="spellEnd"/>
      <w:r w:rsidRPr="00F0716B">
        <w:rPr>
          <w:lang w:val="en-GB"/>
        </w:rPr>
        <w:t>,</w:t>
      </w:r>
      <w:r w:rsidR="003D5F47" w:rsidRPr="00F0716B">
        <w:rPr>
          <w:lang w:val="en-GB"/>
        </w:rPr>
        <w:t xml:space="preserve"> A</w:t>
      </w:r>
      <w:r w:rsidRPr="00F0716B">
        <w:rPr>
          <w:lang w:val="en-GB"/>
        </w:rPr>
        <w:t>.</w:t>
      </w:r>
      <w:r w:rsidR="003D5F47" w:rsidRPr="00F0716B">
        <w:rPr>
          <w:lang w:val="en-GB"/>
        </w:rPr>
        <w:t xml:space="preserve">, </w:t>
      </w:r>
      <w:proofErr w:type="spellStart"/>
      <w:r w:rsidR="003D5F47" w:rsidRPr="00F0716B">
        <w:rPr>
          <w:lang w:val="en-GB"/>
        </w:rPr>
        <w:t>Malcho</w:t>
      </w:r>
      <w:proofErr w:type="spellEnd"/>
      <w:r w:rsidRPr="00F0716B">
        <w:rPr>
          <w:lang w:val="en-GB"/>
        </w:rPr>
        <w:t>,</w:t>
      </w:r>
      <w:r w:rsidR="003D5F47" w:rsidRPr="00F0716B">
        <w:rPr>
          <w:lang w:val="en-GB"/>
        </w:rPr>
        <w:t xml:space="preserve"> M.</w:t>
      </w:r>
      <w:r w:rsidRPr="00F0716B">
        <w:rPr>
          <w:lang w:val="en-GB"/>
        </w:rPr>
        <w:t xml:space="preserve"> (2021). Small heat source used for combustion of wheat-straw pellets</w:t>
      </w:r>
      <w:r w:rsidR="008D63B1" w:rsidRPr="00F0716B">
        <w:rPr>
          <w:lang w:val="en-GB"/>
        </w:rPr>
        <w:t>.</w:t>
      </w:r>
      <w:r w:rsidRPr="00F0716B">
        <w:rPr>
          <w:lang w:val="en-GB"/>
        </w:rPr>
        <w:t xml:space="preserve"> </w:t>
      </w:r>
      <w:r w:rsidRPr="00F0716B">
        <w:rPr>
          <w:i/>
          <w:iCs/>
          <w:lang w:val="en-GB"/>
        </w:rPr>
        <w:t>Applied Sciences</w:t>
      </w:r>
      <w:r w:rsidRPr="00F0716B">
        <w:rPr>
          <w:lang w:val="en-GB"/>
        </w:rPr>
        <w:t xml:space="preserve">, </w:t>
      </w:r>
      <w:r w:rsidRPr="00F0716B">
        <w:rPr>
          <w:i/>
          <w:iCs/>
          <w:lang w:val="en-GB"/>
        </w:rPr>
        <w:t>11</w:t>
      </w:r>
      <w:r w:rsidRPr="00F0716B">
        <w:rPr>
          <w:lang w:val="en-GB"/>
        </w:rPr>
        <w:t xml:space="preserve">(11), </w:t>
      </w:r>
      <w:r w:rsidR="003D5F47" w:rsidRPr="00F0716B">
        <w:rPr>
          <w:lang w:val="en-GB"/>
        </w:rPr>
        <w:t>5239. https://doi.org/10.3390/app11115239</w:t>
      </w:r>
    </w:p>
    <w:p w14:paraId="47ACF80B" w14:textId="77777777" w:rsidR="00FC6DA2" w:rsidRPr="00F0716B" w:rsidRDefault="00FC6DA2" w:rsidP="005831FC">
      <w:pPr>
        <w:pStyle w:val="Rlit"/>
        <w:rPr>
          <w:lang w:val="en-GB"/>
        </w:rPr>
      </w:pPr>
      <w:proofErr w:type="spellStart"/>
      <w:r w:rsidRPr="00F0716B">
        <w:rPr>
          <w:lang w:val="en-GB"/>
        </w:rPr>
        <w:t>Pavlenko</w:t>
      </w:r>
      <w:proofErr w:type="spellEnd"/>
      <w:r w:rsidRPr="00F0716B">
        <w:rPr>
          <w:lang w:val="en-GB"/>
        </w:rPr>
        <w:t>, A.M. (2020). Thermodynamic features of the intensive formation of hydrocarbon hydrates</w:t>
      </w:r>
      <w:r w:rsidR="006A6E1D" w:rsidRPr="00F0716B">
        <w:rPr>
          <w:lang w:val="en-GB"/>
        </w:rPr>
        <w:t>.</w:t>
      </w:r>
      <w:r w:rsidRPr="00F0716B">
        <w:rPr>
          <w:lang w:val="en-GB"/>
        </w:rPr>
        <w:t xml:space="preserve"> </w:t>
      </w:r>
      <w:r w:rsidRPr="00F0716B">
        <w:rPr>
          <w:i/>
          <w:iCs/>
          <w:lang w:val="en-GB"/>
        </w:rPr>
        <w:t>Energies</w:t>
      </w:r>
      <w:r w:rsidRPr="00F0716B">
        <w:rPr>
          <w:lang w:val="en-GB"/>
        </w:rPr>
        <w:t>,</w:t>
      </w:r>
      <w:r w:rsidR="006A6E1D" w:rsidRPr="00F0716B">
        <w:rPr>
          <w:lang w:val="en-GB"/>
        </w:rPr>
        <w:t xml:space="preserve"> </w:t>
      </w:r>
      <w:r w:rsidRPr="00F0716B">
        <w:rPr>
          <w:i/>
          <w:iCs/>
          <w:lang w:val="en-GB"/>
        </w:rPr>
        <w:t>13</w:t>
      </w:r>
      <w:r w:rsidRPr="00F0716B">
        <w:rPr>
          <w:lang w:val="en-GB"/>
        </w:rPr>
        <w:t>(13), 3396.</w:t>
      </w:r>
      <w:r w:rsidR="00325C97" w:rsidRPr="00F0716B">
        <w:rPr>
          <w:lang w:val="en-GB"/>
        </w:rPr>
        <w:t xml:space="preserve"> https://doi.org/10.3390/en13133396</w:t>
      </w:r>
    </w:p>
    <w:p w14:paraId="51B49FA0" w14:textId="77777777" w:rsidR="00D837A6" w:rsidRPr="00F0716B" w:rsidRDefault="00FC6DA2" w:rsidP="005831FC">
      <w:pPr>
        <w:pStyle w:val="Rlit"/>
        <w:rPr>
          <w:lang w:val="en-GB"/>
        </w:rPr>
      </w:pPr>
      <w:proofErr w:type="spellStart"/>
      <w:r w:rsidRPr="00F0716B">
        <w:rPr>
          <w:lang w:val="en-GB"/>
        </w:rPr>
        <w:t>Pavlenko</w:t>
      </w:r>
      <w:proofErr w:type="spellEnd"/>
      <w:r w:rsidRPr="00F0716B">
        <w:rPr>
          <w:lang w:val="en-GB"/>
        </w:rPr>
        <w:t>, A.M., </w:t>
      </w:r>
      <w:proofErr w:type="spellStart"/>
      <w:r w:rsidRPr="00F0716B">
        <w:rPr>
          <w:lang w:val="en-GB"/>
        </w:rPr>
        <w:t>Koshlak</w:t>
      </w:r>
      <w:proofErr w:type="spellEnd"/>
      <w:r w:rsidRPr="00F0716B">
        <w:rPr>
          <w:lang w:val="en-GB"/>
        </w:rPr>
        <w:t>, H. (2021). Application of thermal and cavitation effects for heat and mass transfer process intensification in multicomponent liquid media</w:t>
      </w:r>
      <w:r w:rsidR="006A6E1D" w:rsidRPr="00F0716B">
        <w:rPr>
          <w:lang w:val="en-GB"/>
        </w:rPr>
        <w:t>.</w:t>
      </w:r>
      <w:r w:rsidRPr="00F0716B">
        <w:rPr>
          <w:lang w:val="en-GB"/>
        </w:rPr>
        <w:t xml:space="preserve"> </w:t>
      </w:r>
      <w:r w:rsidRPr="00F0716B">
        <w:rPr>
          <w:i/>
          <w:iCs/>
          <w:lang w:val="en-GB"/>
        </w:rPr>
        <w:t>Energies</w:t>
      </w:r>
      <w:r w:rsidRPr="00F0716B">
        <w:rPr>
          <w:lang w:val="en-GB"/>
        </w:rPr>
        <w:t>,</w:t>
      </w:r>
      <w:r w:rsidR="006A6E1D" w:rsidRPr="00F0716B">
        <w:rPr>
          <w:lang w:val="en-GB"/>
        </w:rPr>
        <w:t xml:space="preserve"> </w:t>
      </w:r>
      <w:r w:rsidRPr="00F0716B">
        <w:rPr>
          <w:i/>
          <w:iCs/>
          <w:lang w:val="en-GB"/>
        </w:rPr>
        <w:t>14</w:t>
      </w:r>
      <w:r w:rsidRPr="00F0716B">
        <w:rPr>
          <w:lang w:val="en-GB"/>
        </w:rPr>
        <w:t>(23), 7996</w:t>
      </w:r>
      <w:r w:rsidR="00325C97" w:rsidRPr="00F0716B">
        <w:rPr>
          <w:lang w:val="en-GB"/>
        </w:rPr>
        <w:t>. https://doi.org/10.3390/en14237996</w:t>
      </w:r>
    </w:p>
    <w:p w14:paraId="195CB0F8" w14:textId="77777777" w:rsidR="009C4940" w:rsidRPr="00F0716B" w:rsidRDefault="009C4940" w:rsidP="005831FC">
      <w:pPr>
        <w:pStyle w:val="Rlit"/>
        <w:rPr>
          <w:lang w:val="en-GB"/>
        </w:rPr>
      </w:pPr>
      <w:r w:rsidRPr="00F0716B">
        <w:rPr>
          <w:lang w:val="en-GB"/>
        </w:rPr>
        <w:t xml:space="preserve">Sun, Y., Zhang, Y., Bao, L., Fan, Z., Wang, D., </w:t>
      </w:r>
      <w:proofErr w:type="spellStart"/>
      <w:r w:rsidRPr="00F0716B">
        <w:rPr>
          <w:lang w:val="en-GB"/>
        </w:rPr>
        <w:t>Sundell</w:t>
      </w:r>
      <w:proofErr w:type="spellEnd"/>
      <w:r w:rsidRPr="00F0716B">
        <w:rPr>
          <w:lang w:val="en-GB"/>
        </w:rPr>
        <w:t>, J. (2013)</w:t>
      </w:r>
      <w:r w:rsidR="00A9368E" w:rsidRPr="00F0716B">
        <w:rPr>
          <w:lang w:val="en-GB"/>
        </w:rPr>
        <w:t>. Effects of gender and dormitory environment on sick building syndrome symptoms among college students in Tianjin, China</w:t>
      </w:r>
      <w:r w:rsidR="006A6E1D" w:rsidRPr="00F0716B">
        <w:rPr>
          <w:lang w:val="en-GB"/>
        </w:rPr>
        <w:t>.</w:t>
      </w:r>
      <w:r w:rsidRPr="00F0716B">
        <w:rPr>
          <w:lang w:val="en-GB"/>
        </w:rPr>
        <w:t xml:space="preserve"> </w:t>
      </w:r>
      <w:r w:rsidRPr="00F0716B">
        <w:rPr>
          <w:i/>
          <w:iCs/>
          <w:lang w:val="en-GB"/>
        </w:rPr>
        <w:t>Building and Environment</w:t>
      </w:r>
      <w:r w:rsidRPr="00F0716B">
        <w:rPr>
          <w:lang w:val="en-GB"/>
        </w:rPr>
        <w:t xml:space="preserve">, </w:t>
      </w:r>
      <w:r w:rsidRPr="00F0716B">
        <w:rPr>
          <w:i/>
          <w:iCs/>
          <w:lang w:val="en-GB"/>
        </w:rPr>
        <w:t>68</w:t>
      </w:r>
      <w:r w:rsidRPr="00F0716B">
        <w:rPr>
          <w:lang w:val="en-GB"/>
        </w:rPr>
        <w:t>, 134-139. https://doi.org/10.1016/j.buildenv.2013.06.010</w:t>
      </w:r>
    </w:p>
    <w:p w14:paraId="13FDC687" w14:textId="77777777" w:rsidR="005B05D9" w:rsidRPr="00F0716B" w:rsidRDefault="005B05D9" w:rsidP="005831FC">
      <w:pPr>
        <w:pStyle w:val="Rlit"/>
        <w:rPr>
          <w:lang w:val="en-GB"/>
        </w:rPr>
      </w:pPr>
      <w:r w:rsidRPr="00F0716B">
        <w:rPr>
          <w:lang w:val="en-GB"/>
        </w:rPr>
        <w:t xml:space="preserve">Suzuki, N., Nakayama, Y., </w:t>
      </w:r>
      <w:proofErr w:type="spellStart"/>
      <w:r w:rsidRPr="00F0716B">
        <w:rPr>
          <w:lang w:val="en-GB"/>
        </w:rPr>
        <w:t>Nakaoka</w:t>
      </w:r>
      <w:proofErr w:type="spellEnd"/>
      <w:r w:rsidRPr="00F0716B">
        <w:rPr>
          <w:lang w:val="en-GB"/>
        </w:rPr>
        <w:t xml:space="preserve">, H., </w:t>
      </w:r>
      <w:proofErr w:type="spellStart"/>
      <w:r w:rsidRPr="00F0716B">
        <w:rPr>
          <w:lang w:val="en-GB"/>
        </w:rPr>
        <w:t>Takaguchi</w:t>
      </w:r>
      <w:proofErr w:type="spellEnd"/>
      <w:r w:rsidRPr="00F0716B">
        <w:rPr>
          <w:lang w:val="en-GB"/>
        </w:rPr>
        <w:t xml:space="preserve">, K., Tsumura, K., </w:t>
      </w:r>
      <w:proofErr w:type="spellStart"/>
      <w:r w:rsidRPr="00F0716B">
        <w:rPr>
          <w:lang w:val="en-GB"/>
        </w:rPr>
        <w:t>Hanazato</w:t>
      </w:r>
      <w:proofErr w:type="spellEnd"/>
      <w:r w:rsidRPr="00F0716B">
        <w:rPr>
          <w:lang w:val="en-GB"/>
        </w:rPr>
        <w:t>, M., Hayashi, T.,</w:t>
      </w:r>
      <w:r w:rsidR="00737DBF" w:rsidRPr="00F0716B">
        <w:rPr>
          <w:lang w:val="en-GB"/>
        </w:rPr>
        <w:t xml:space="preserve"> </w:t>
      </w:r>
      <w:r w:rsidRPr="00F0716B">
        <w:rPr>
          <w:lang w:val="en-GB"/>
        </w:rPr>
        <w:t xml:space="preserve">Mori, C. (2021). </w:t>
      </w:r>
      <w:r w:rsidR="00A9368E" w:rsidRPr="00F0716B">
        <w:rPr>
          <w:lang w:val="en-GB"/>
        </w:rPr>
        <w:t>Risk factors for the onset of sick building syndrome: A cross-sectional survey of housing and health in Japan</w:t>
      </w:r>
      <w:r w:rsidR="006A6E1D" w:rsidRPr="00F0716B">
        <w:rPr>
          <w:lang w:val="en-GB"/>
        </w:rPr>
        <w:t>.</w:t>
      </w:r>
      <w:r w:rsidR="00A9368E" w:rsidRPr="00F0716B">
        <w:rPr>
          <w:lang w:val="en-GB"/>
        </w:rPr>
        <w:t xml:space="preserve"> </w:t>
      </w:r>
      <w:r w:rsidRPr="00F0716B">
        <w:rPr>
          <w:i/>
          <w:iCs/>
          <w:lang w:val="en-GB"/>
        </w:rPr>
        <w:t>Building and Environment</w:t>
      </w:r>
      <w:r w:rsidRPr="00F0716B">
        <w:rPr>
          <w:lang w:val="en-GB"/>
        </w:rPr>
        <w:t xml:space="preserve">, </w:t>
      </w:r>
      <w:r w:rsidRPr="00F0716B">
        <w:rPr>
          <w:i/>
          <w:iCs/>
          <w:lang w:val="en-GB"/>
        </w:rPr>
        <w:t>202</w:t>
      </w:r>
      <w:r w:rsidR="00A9368E" w:rsidRPr="00F0716B">
        <w:rPr>
          <w:lang w:val="en-GB"/>
        </w:rPr>
        <w:t>,</w:t>
      </w:r>
      <w:r w:rsidRPr="00F0716B">
        <w:rPr>
          <w:lang w:val="en-GB"/>
        </w:rPr>
        <w:t xml:space="preserve"> </w:t>
      </w:r>
      <w:r w:rsidR="00A9368E" w:rsidRPr="00F0716B">
        <w:rPr>
          <w:lang w:val="en-GB"/>
        </w:rPr>
        <w:t xml:space="preserve">107976. </w:t>
      </w:r>
      <w:r w:rsidRPr="00F0716B">
        <w:rPr>
          <w:lang w:val="en-GB"/>
        </w:rPr>
        <w:t>https://doi.org/10.1016/j.buildenv.2021.107976</w:t>
      </w:r>
    </w:p>
    <w:p w14:paraId="09B5F7DF" w14:textId="77777777" w:rsidR="007715B6" w:rsidRPr="00F0716B" w:rsidRDefault="007715B6" w:rsidP="005831FC">
      <w:pPr>
        <w:pStyle w:val="Rlit"/>
        <w:rPr>
          <w:lang w:val="en-GB"/>
        </w:rPr>
      </w:pPr>
      <w:proofErr w:type="spellStart"/>
      <w:r w:rsidRPr="00F0716B">
        <w:rPr>
          <w:lang w:val="en-GB"/>
        </w:rPr>
        <w:t>Wojtkowiak</w:t>
      </w:r>
      <w:proofErr w:type="spellEnd"/>
      <w:r w:rsidR="004A50C8" w:rsidRPr="00F0716B">
        <w:rPr>
          <w:lang w:val="en-GB"/>
        </w:rPr>
        <w:t>,</w:t>
      </w:r>
      <w:r w:rsidRPr="00F0716B">
        <w:rPr>
          <w:lang w:val="en-GB"/>
        </w:rPr>
        <w:t xml:space="preserve"> J</w:t>
      </w:r>
      <w:r w:rsidR="004A50C8" w:rsidRPr="00F0716B">
        <w:rPr>
          <w:lang w:val="en-GB"/>
        </w:rPr>
        <w:t>.</w:t>
      </w:r>
      <w:r w:rsidRPr="00F0716B">
        <w:rPr>
          <w:lang w:val="en-GB"/>
        </w:rPr>
        <w:t xml:space="preserve">, </w:t>
      </w:r>
      <w:proofErr w:type="spellStart"/>
      <w:r w:rsidRPr="00F0716B">
        <w:rPr>
          <w:lang w:val="en-GB"/>
        </w:rPr>
        <w:t>Amanowicz</w:t>
      </w:r>
      <w:proofErr w:type="spellEnd"/>
      <w:r w:rsidR="004A50C8" w:rsidRPr="00F0716B">
        <w:rPr>
          <w:lang w:val="en-GB"/>
        </w:rPr>
        <w:t>, Ł. (2020).</w:t>
      </w:r>
      <w:r w:rsidRPr="00F0716B">
        <w:rPr>
          <w:lang w:val="en-GB"/>
        </w:rPr>
        <w:t xml:space="preserve"> Effect of surface corrugation on cooling capacity of ceiling panel</w:t>
      </w:r>
      <w:r w:rsidR="0059721B" w:rsidRPr="00F0716B">
        <w:rPr>
          <w:lang w:val="en-GB"/>
        </w:rPr>
        <w:t>.</w:t>
      </w:r>
      <w:r w:rsidRPr="00F0716B">
        <w:rPr>
          <w:lang w:val="en-GB"/>
        </w:rPr>
        <w:t xml:space="preserve"> </w:t>
      </w:r>
      <w:r w:rsidRPr="00F0716B">
        <w:rPr>
          <w:i/>
          <w:iCs/>
          <w:lang w:val="en-GB"/>
        </w:rPr>
        <w:t>Thermal Science and Engineering Progress</w:t>
      </w:r>
      <w:r w:rsidRPr="00F0716B">
        <w:rPr>
          <w:lang w:val="en-GB"/>
        </w:rPr>
        <w:t xml:space="preserve">, </w:t>
      </w:r>
      <w:r w:rsidRPr="00F0716B">
        <w:rPr>
          <w:i/>
          <w:iCs/>
          <w:lang w:val="en-GB"/>
        </w:rPr>
        <w:t>19</w:t>
      </w:r>
      <w:r w:rsidRPr="00F0716B">
        <w:rPr>
          <w:lang w:val="en-GB"/>
        </w:rPr>
        <w:t>, 100572</w:t>
      </w:r>
      <w:r w:rsidR="004A50C8" w:rsidRPr="00F0716B">
        <w:rPr>
          <w:lang w:val="en-GB"/>
        </w:rPr>
        <w:t>.</w:t>
      </w:r>
      <w:r w:rsidRPr="00F0716B">
        <w:rPr>
          <w:lang w:val="en-GB"/>
        </w:rPr>
        <w:t xml:space="preserve"> https://doi.org/10.1016/j.tsep.2020.100572</w:t>
      </w:r>
    </w:p>
    <w:p w14:paraId="24F2DCC9" w14:textId="77777777" w:rsidR="00E626A6" w:rsidRPr="00F0716B" w:rsidRDefault="00E626A6" w:rsidP="00A174C9">
      <w:pPr>
        <w:jc w:val="both"/>
        <w:rPr>
          <w:sz w:val="20"/>
          <w:lang w:val="en-GB"/>
        </w:rPr>
      </w:pPr>
    </w:p>
    <w:sectPr w:rsidR="00E626A6" w:rsidRPr="00F0716B" w:rsidSect="00C06EAF">
      <w:headerReference w:type="even" r:id="rId17"/>
      <w:headerReference w:type="default" r:id="rId18"/>
      <w:footerReference w:type="first" r:id="rId19"/>
      <w:pgSz w:w="11907" w:h="16840" w:code="9"/>
      <w:pgMar w:top="1134" w:right="1134" w:bottom="1134" w:left="1134" w:header="567" w:footer="567" w:gutter="0"/>
      <w:pgNumType w:start="6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496E4" w14:textId="77777777" w:rsidR="00803999" w:rsidRDefault="00803999" w:rsidP="00910EAA">
      <w:r>
        <w:separator/>
      </w:r>
    </w:p>
  </w:endnote>
  <w:endnote w:type="continuationSeparator" w:id="0">
    <w:p w14:paraId="505BC9FC" w14:textId="77777777" w:rsidR="00803999" w:rsidRDefault="00803999" w:rsidP="0091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910EAA" w:rsidRPr="005117CD" w14:paraId="5E468EBD" w14:textId="77777777" w:rsidTr="003431BC">
      <w:trPr>
        <w:trHeight w:val="198"/>
      </w:trPr>
      <w:tc>
        <w:tcPr>
          <w:tcW w:w="1384" w:type="dxa"/>
          <w:shd w:val="clear" w:color="auto" w:fill="auto"/>
          <w:vAlign w:val="center"/>
        </w:tcPr>
        <w:p w14:paraId="3EC51BE2" w14:textId="77777777" w:rsidR="00910EAA" w:rsidRPr="008F22CF" w:rsidRDefault="00CD5251" w:rsidP="00910EAA">
          <w:bookmarkStart w:id="2" w:name="_Hlk104286226"/>
          <w:bookmarkStart w:id="3" w:name="_Hlk104286227"/>
          <w:r>
            <w:rPr>
              <w:noProof/>
            </w:rPr>
            <w:pict w14:anchorId="086C2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7" o:spid="_x0000_i1034" type="#_x0000_t75" style="width:54pt;height:18.5pt;visibility:visible;mso-wrap-style:square">
                <v:imagedata r:id="rId1" o:title=""/>
              </v:shape>
            </w:pict>
          </w:r>
        </w:p>
      </w:tc>
      <w:tc>
        <w:tcPr>
          <w:tcW w:w="5387" w:type="dxa"/>
          <w:shd w:val="clear" w:color="auto" w:fill="auto"/>
          <w:vAlign w:val="center"/>
        </w:tcPr>
        <w:p w14:paraId="2ACB8F56" w14:textId="77777777" w:rsidR="00910EAA" w:rsidRPr="005117CD" w:rsidRDefault="00910EAA" w:rsidP="00910EAA">
          <w:pPr>
            <w:suppressAutoHyphens/>
            <w:rPr>
              <w:sz w:val="18"/>
              <w:szCs w:val="18"/>
              <w:lang w:val="en-GB"/>
            </w:rPr>
          </w:pPr>
          <w:r w:rsidRPr="005117CD">
            <w:rPr>
              <w:sz w:val="18"/>
              <w:szCs w:val="18"/>
              <w:lang w:val="en-GB"/>
            </w:rPr>
            <w:t>© 2023. Author(s). This work is licensed under a Creative Commons Attribution 4.0 International License (CC BY-SA)</w:t>
          </w:r>
        </w:p>
      </w:tc>
    </w:tr>
    <w:bookmarkEnd w:id="2"/>
    <w:bookmarkEnd w:id="3"/>
  </w:tbl>
  <w:p w14:paraId="53DEC0DA" w14:textId="77777777" w:rsidR="00910EAA" w:rsidRPr="005117CD" w:rsidRDefault="00910EAA" w:rsidP="00910EAA">
    <w:pPr>
      <w:pStyle w:val="Stopka"/>
      <w:rPr>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A361A" w14:textId="77777777" w:rsidR="00803999" w:rsidRDefault="00803999" w:rsidP="00910EAA">
      <w:r>
        <w:separator/>
      </w:r>
    </w:p>
  </w:footnote>
  <w:footnote w:type="continuationSeparator" w:id="0">
    <w:p w14:paraId="1F5E4C07" w14:textId="77777777" w:rsidR="00803999" w:rsidRDefault="00803999" w:rsidP="00910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F5793B" w:rsidRPr="00CD19B2" w14:paraId="37481A28" w14:textId="77777777" w:rsidTr="003431BC">
      <w:trPr>
        <w:trHeight w:hRule="exact" w:val="284"/>
      </w:trPr>
      <w:tc>
        <w:tcPr>
          <w:tcW w:w="397" w:type="dxa"/>
          <w:shd w:val="clear" w:color="auto" w:fill="auto"/>
          <w:vAlign w:val="center"/>
        </w:tcPr>
        <w:p w14:paraId="4DC8F960" w14:textId="77777777" w:rsidR="00F5793B" w:rsidRPr="00911802" w:rsidRDefault="00F5793B" w:rsidP="00F5793B">
          <w:pPr>
            <w:pStyle w:val="Nagwek"/>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69</w:t>
          </w:r>
          <w:r w:rsidRPr="00911802">
            <w:rPr>
              <w:rFonts w:ascii="Arial" w:hAnsi="Arial" w:cs="Arial"/>
              <w:sz w:val="20"/>
              <w:szCs w:val="18"/>
            </w:rPr>
            <w:fldChar w:fldCharType="end"/>
          </w:r>
        </w:p>
      </w:tc>
      <w:tc>
        <w:tcPr>
          <w:tcW w:w="9242" w:type="dxa"/>
          <w:shd w:val="clear" w:color="auto" w:fill="auto"/>
          <w:vAlign w:val="center"/>
        </w:tcPr>
        <w:p w14:paraId="3213A906" w14:textId="77777777" w:rsidR="00F5793B" w:rsidRPr="000A241A" w:rsidRDefault="00F5793B" w:rsidP="00F5793B">
          <w:pPr>
            <w:pStyle w:val="Nagwek"/>
            <w:jc w:val="center"/>
            <w:rPr>
              <w:rFonts w:ascii="Arial" w:hAnsi="Arial" w:cs="Arial"/>
              <w:i/>
              <w:sz w:val="20"/>
              <w:szCs w:val="18"/>
              <w:lang w:val="pl-PL"/>
            </w:rPr>
          </w:pPr>
          <w:r w:rsidRPr="001877B5">
            <w:rPr>
              <w:rFonts w:ascii="Arial" w:hAnsi="Arial" w:cs="Arial"/>
              <w:i/>
              <w:sz w:val="20"/>
              <w:szCs w:val="18"/>
              <w:lang w:val="pl-PL"/>
            </w:rPr>
            <w:t>Natalia Krawczyk</w:t>
          </w:r>
          <w:r>
            <w:rPr>
              <w:rFonts w:ascii="Arial" w:hAnsi="Arial" w:cs="Arial"/>
              <w:i/>
              <w:sz w:val="20"/>
              <w:szCs w:val="18"/>
              <w:lang w:val="pl-PL"/>
            </w:rPr>
            <w:t xml:space="preserve"> et al.</w:t>
          </w:r>
        </w:p>
      </w:tc>
    </w:tr>
  </w:tbl>
  <w:p w14:paraId="6420353D" w14:textId="77777777" w:rsidR="00F5793B" w:rsidRPr="000A241A" w:rsidRDefault="00F5793B" w:rsidP="00F5793B">
    <w:pPr>
      <w:pStyle w:val="Nagwek"/>
      <w:rPr>
        <w:rFonts w:ascii="Arial" w:hAnsi="Arial" w:cs="Arial"/>
        <w:sz w:val="8"/>
        <w:szCs w:val="14"/>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F5793B" w:rsidRPr="00911802" w14:paraId="72D00132" w14:textId="77777777" w:rsidTr="003431BC">
      <w:trPr>
        <w:trHeight w:hRule="exact" w:val="284"/>
        <w:jc w:val="right"/>
      </w:trPr>
      <w:tc>
        <w:tcPr>
          <w:tcW w:w="9243" w:type="dxa"/>
          <w:shd w:val="clear" w:color="auto" w:fill="auto"/>
          <w:vAlign w:val="center"/>
        </w:tcPr>
        <w:p w14:paraId="28676F4C" w14:textId="77777777" w:rsidR="00F5793B" w:rsidRPr="005117CD" w:rsidRDefault="00F5793B" w:rsidP="00F5793B">
          <w:pPr>
            <w:pStyle w:val="Nagwek"/>
            <w:jc w:val="center"/>
            <w:rPr>
              <w:rFonts w:ascii="Arial" w:hAnsi="Arial" w:cs="Arial"/>
              <w:i/>
              <w:sz w:val="20"/>
              <w:szCs w:val="18"/>
              <w:lang w:val="en-GB"/>
            </w:rPr>
          </w:pPr>
          <w:r w:rsidRPr="00F5793B">
            <w:rPr>
              <w:rFonts w:ascii="Arial" w:hAnsi="Arial" w:cs="Arial"/>
              <w:i/>
              <w:sz w:val="20"/>
              <w:szCs w:val="18"/>
              <w:lang w:val="en-GB"/>
            </w:rPr>
            <w:t xml:space="preserve">Validation of the </w:t>
          </w:r>
          <w:proofErr w:type="spellStart"/>
          <w:r w:rsidRPr="00F5793B">
            <w:rPr>
              <w:rFonts w:ascii="Arial" w:hAnsi="Arial" w:cs="Arial"/>
              <w:i/>
              <w:sz w:val="20"/>
              <w:szCs w:val="18"/>
              <w:lang w:val="en-GB"/>
            </w:rPr>
            <w:t>Fanger</w:t>
          </w:r>
          <w:proofErr w:type="spellEnd"/>
          <w:r w:rsidRPr="00F5793B">
            <w:rPr>
              <w:rFonts w:ascii="Arial" w:hAnsi="Arial" w:cs="Arial"/>
              <w:i/>
              <w:sz w:val="20"/>
              <w:szCs w:val="18"/>
              <w:lang w:val="en-GB"/>
            </w:rPr>
            <w:t xml:space="preserve"> Model and Assessment of SBS Symptoms</w:t>
          </w:r>
          <w:r w:rsidRPr="005117CD">
            <w:rPr>
              <w:rFonts w:ascii="Arial" w:hAnsi="Arial" w:cs="Arial"/>
              <w:i/>
              <w:sz w:val="20"/>
              <w:szCs w:val="18"/>
              <w:lang w:val="en-GB"/>
            </w:rPr>
            <w:t>…</w:t>
          </w:r>
        </w:p>
      </w:tc>
      <w:tc>
        <w:tcPr>
          <w:tcW w:w="397" w:type="dxa"/>
          <w:shd w:val="clear" w:color="auto" w:fill="auto"/>
          <w:vAlign w:val="center"/>
        </w:tcPr>
        <w:p w14:paraId="23258E47" w14:textId="77777777" w:rsidR="00F5793B" w:rsidRPr="00911802" w:rsidRDefault="00F5793B" w:rsidP="00F5793B">
          <w:pPr>
            <w:pStyle w:val="Nagwek"/>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17</w:t>
          </w:r>
          <w:r w:rsidRPr="00911802">
            <w:rPr>
              <w:rFonts w:ascii="Arial" w:hAnsi="Arial" w:cs="Arial"/>
              <w:sz w:val="20"/>
              <w:szCs w:val="18"/>
            </w:rPr>
            <w:fldChar w:fldCharType="end"/>
          </w:r>
        </w:p>
      </w:tc>
    </w:tr>
  </w:tbl>
  <w:p w14:paraId="30CADF57" w14:textId="77777777" w:rsidR="00F5793B" w:rsidRPr="00911802" w:rsidRDefault="00F5793B" w:rsidP="00F5793B">
    <w:pPr>
      <w:pStyle w:val="Nagwek"/>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8"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3"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16cid:durableId="2126927083">
    <w:abstractNumId w:val="15"/>
  </w:num>
  <w:num w:numId="2" w16cid:durableId="856818543">
    <w:abstractNumId w:val="3"/>
  </w:num>
  <w:num w:numId="3" w16cid:durableId="262107469">
    <w:abstractNumId w:val="12"/>
  </w:num>
  <w:num w:numId="4" w16cid:durableId="1588031410">
    <w:abstractNumId w:val="7"/>
  </w:num>
  <w:num w:numId="5" w16cid:durableId="582690418">
    <w:abstractNumId w:val="11"/>
  </w:num>
  <w:num w:numId="6" w16cid:durableId="272326355">
    <w:abstractNumId w:val="4"/>
  </w:num>
  <w:num w:numId="7" w16cid:durableId="1731029974">
    <w:abstractNumId w:val="6"/>
  </w:num>
  <w:num w:numId="8" w16cid:durableId="1773016482">
    <w:abstractNumId w:val="1"/>
  </w:num>
  <w:num w:numId="9" w16cid:durableId="1779325957">
    <w:abstractNumId w:val="14"/>
  </w:num>
  <w:num w:numId="10" w16cid:durableId="5641129">
    <w:abstractNumId w:val="9"/>
  </w:num>
  <w:num w:numId="11" w16cid:durableId="1823085957">
    <w:abstractNumId w:val="13"/>
  </w:num>
  <w:num w:numId="12" w16cid:durableId="1053962824">
    <w:abstractNumId w:val="10"/>
  </w:num>
  <w:num w:numId="13" w16cid:durableId="914902362">
    <w:abstractNumId w:val="5"/>
  </w:num>
  <w:num w:numId="14" w16cid:durableId="1105229150">
    <w:abstractNumId w:val="14"/>
  </w:num>
  <w:num w:numId="15" w16cid:durableId="1651977802">
    <w:abstractNumId w:val="8"/>
  </w:num>
  <w:num w:numId="16" w16cid:durableId="479880276">
    <w:abstractNumId w:val="5"/>
  </w:num>
  <w:num w:numId="17" w16cid:durableId="1101684320">
    <w:abstractNumId w:val="5"/>
  </w:num>
  <w:num w:numId="18" w16cid:durableId="1381979696">
    <w:abstractNumId w:val="5"/>
  </w:num>
  <w:num w:numId="19" w16cid:durableId="1640305556">
    <w:abstractNumId w:val="5"/>
  </w:num>
  <w:num w:numId="20" w16cid:durableId="1034883418">
    <w:abstractNumId w:val="5"/>
  </w:num>
  <w:num w:numId="21" w16cid:durableId="273631304">
    <w:abstractNumId w:val="5"/>
  </w:num>
  <w:num w:numId="22" w16cid:durableId="99179476">
    <w:abstractNumId w:val="5"/>
  </w:num>
  <w:num w:numId="23" w16cid:durableId="1496922217">
    <w:abstractNumId w:val="5"/>
  </w:num>
  <w:num w:numId="24" w16cid:durableId="1825582724">
    <w:abstractNumId w:val="5"/>
  </w:num>
  <w:num w:numId="25" w16cid:durableId="690181389">
    <w:abstractNumId w:val="5"/>
  </w:num>
  <w:num w:numId="26" w16cid:durableId="97680458">
    <w:abstractNumId w:val="5"/>
  </w:num>
  <w:num w:numId="27" w16cid:durableId="1607350290">
    <w:abstractNumId w:val="5"/>
  </w:num>
  <w:num w:numId="28" w16cid:durableId="1562521683">
    <w:abstractNumId w:val="5"/>
  </w:num>
  <w:num w:numId="29" w16cid:durableId="1180124296">
    <w:abstractNumId w:val="11"/>
  </w:num>
  <w:num w:numId="30" w16cid:durableId="1406102946">
    <w:abstractNumId w:val="11"/>
  </w:num>
  <w:num w:numId="31" w16cid:durableId="561060834">
    <w:abstractNumId w:val="11"/>
    <w:lvlOverride w:ilvl="0">
      <w:startOverride w:val="1"/>
    </w:lvlOverride>
  </w:num>
  <w:num w:numId="32" w16cid:durableId="1831601255">
    <w:abstractNumId w:val="11"/>
  </w:num>
  <w:num w:numId="33" w16cid:durableId="458691340">
    <w:abstractNumId w:val="11"/>
    <w:lvlOverride w:ilvl="0">
      <w:startOverride w:val="1"/>
    </w:lvlOverride>
  </w:num>
  <w:num w:numId="34" w16cid:durableId="625355290">
    <w:abstractNumId w:val="11"/>
    <w:lvlOverride w:ilvl="0">
      <w:startOverride w:val="1"/>
    </w:lvlOverride>
  </w:num>
  <w:num w:numId="35" w16cid:durableId="251356493">
    <w:abstractNumId w:val="12"/>
    <w:lvlOverride w:ilvl="0">
      <w:startOverride w:val="1"/>
    </w:lvlOverride>
  </w:num>
  <w:num w:numId="36" w16cid:durableId="909848280">
    <w:abstractNumId w:val="12"/>
  </w:num>
  <w:num w:numId="37" w16cid:durableId="604270729">
    <w:abstractNumId w:val="12"/>
    <w:lvlOverride w:ilvl="0">
      <w:startOverride w:val="1"/>
    </w:lvlOverride>
  </w:num>
  <w:num w:numId="38" w16cid:durableId="11688552">
    <w:abstractNumId w:val="12"/>
  </w:num>
  <w:num w:numId="39" w16cid:durableId="474491622">
    <w:abstractNumId w:val="12"/>
    <w:lvlOverride w:ilvl="0">
      <w:startOverride w:val="1"/>
    </w:lvlOverride>
  </w:num>
  <w:num w:numId="40" w16cid:durableId="1415594261">
    <w:abstractNumId w:val="12"/>
    <w:lvlOverride w:ilvl="0">
      <w:startOverride w:val="1"/>
    </w:lvlOverride>
  </w:num>
  <w:num w:numId="41" w16cid:durableId="1701320095">
    <w:abstractNumId w:val="12"/>
    <w:lvlOverride w:ilvl="0">
      <w:startOverride w:val="1"/>
    </w:lvlOverride>
  </w:num>
  <w:num w:numId="42" w16cid:durableId="364215787">
    <w:abstractNumId w:val="12"/>
  </w:num>
  <w:num w:numId="43" w16cid:durableId="1874727936">
    <w:abstractNumId w:val="12"/>
  </w:num>
  <w:num w:numId="44" w16cid:durableId="1821845340">
    <w:abstractNumId w:val="2"/>
  </w:num>
  <w:num w:numId="45" w16cid:durableId="444886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PostScriptOverText/>
  <w:embedSystemFonts/>
  <w:mirrorMargins/>
  <w:hideSpellingError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20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xsTAytzQ2MLcwMDdW0lEKTi0uzszPAykwrAUAMWVENCwAAAA="/>
  </w:docVars>
  <w:rsids>
    <w:rsidRoot w:val="00C14B14"/>
    <w:rsid w:val="000007B5"/>
    <w:rsid w:val="00003D7C"/>
    <w:rsid w:val="00014140"/>
    <w:rsid w:val="00020205"/>
    <w:rsid w:val="00027428"/>
    <w:rsid w:val="00031EC9"/>
    <w:rsid w:val="00033D08"/>
    <w:rsid w:val="00041FA1"/>
    <w:rsid w:val="000502E8"/>
    <w:rsid w:val="0005641B"/>
    <w:rsid w:val="00061A2C"/>
    <w:rsid w:val="00063B96"/>
    <w:rsid w:val="00066FED"/>
    <w:rsid w:val="00075EA6"/>
    <w:rsid w:val="0007709F"/>
    <w:rsid w:val="00083094"/>
    <w:rsid w:val="00086F62"/>
    <w:rsid w:val="00090674"/>
    <w:rsid w:val="0009320B"/>
    <w:rsid w:val="000956C5"/>
    <w:rsid w:val="00096AE0"/>
    <w:rsid w:val="000A16CB"/>
    <w:rsid w:val="000A4EBD"/>
    <w:rsid w:val="000B1B74"/>
    <w:rsid w:val="000B3A2D"/>
    <w:rsid w:val="000B4859"/>
    <w:rsid w:val="000B49C0"/>
    <w:rsid w:val="000C4423"/>
    <w:rsid w:val="000C5BE4"/>
    <w:rsid w:val="000C67B8"/>
    <w:rsid w:val="000D15AC"/>
    <w:rsid w:val="000D366B"/>
    <w:rsid w:val="000D4BA7"/>
    <w:rsid w:val="000E382F"/>
    <w:rsid w:val="000E596E"/>
    <w:rsid w:val="000E75CD"/>
    <w:rsid w:val="000F08A3"/>
    <w:rsid w:val="001036BA"/>
    <w:rsid w:val="0010529A"/>
    <w:rsid w:val="0011431F"/>
    <w:rsid w:val="001146DC"/>
    <w:rsid w:val="00114AB1"/>
    <w:rsid w:val="001151A0"/>
    <w:rsid w:val="001230FF"/>
    <w:rsid w:val="00130BD7"/>
    <w:rsid w:val="001321A0"/>
    <w:rsid w:val="00155B67"/>
    <w:rsid w:val="00155DD6"/>
    <w:rsid w:val="001562AF"/>
    <w:rsid w:val="00161723"/>
    <w:rsid w:val="00161A5B"/>
    <w:rsid w:val="0016385D"/>
    <w:rsid w:val="0016782F"/>
    <w:rsid w:val="00185774"/>
    <w:rsid w:val="001877B5"/>
    <w:rsid w:val="001911DF"/>
    <w:rsid w:val="001937E9"/>
    <w:rsid w:val="001964B2"/>
    <w:rsid w:val="001964E5"/>
    <w:rsid w:val="001B263B"/>
    <w:rsid w:val="001B476A"/>
    <w:rsid w:val="001C764F"/>
    <w:rsid w:val="001C7BB3"/>
    <w:rsid w:val="001D1E9E"/>
    <w:rsid w:val="001D469C"/>
    <w:rsid w:val="001E2696"/>
    <w:rsid w:val="001E4283"/>
    <w:rsid w:val="001F2AFC"/>
    <w:rsid w:val="001F5F7A"/>
    <w:rsid w:val="0021619E"/>
    <w:rsid w:val="00217990"/>
    <w:rsid w:val="00220D52"/>
    <w:rsid w:val="00223FE6"/>
    <w:rsid w:val="00230AD0"/>
    <w:rsid w:val="0023171B"/>
    <w:rsid w:val="00234884"/>
    <w:rsid w:val="00236BFC"/>
    <w:rsid w:val="00237437"/>
    <w:rsid w:val="002415C0"/>
    <w:rsid w:val="002502FD"/>
    <w:rsid w:val="002505C9"/>
    <w:rsid w:val="00267F13"/>
    <w:rsid w:val="00272368"/>
    <w:rsid w:val="00274622"/>
    <w:rsid w:val="002840D8"/>
    <w:rsid w:val="00285C68"/>
    <w:rsid w:val="00285D24"/>
    <w:rsid w:val="00290390"/>
    <w:rsid w:val="002915D3"/>
    <w:rsid w:val="002924DB"/>
    <w:rsid w:val="002941DA"/>
    <w:rsid w:val="00297003"/>
    <w:rsid w:val="002A18FC"/>
    <w:rsid w:val="002A3147"/>
    <w:rsid w:val="002A5E40"/>
    <w:rsid w:val="002B29F2"/>
    <w:rsid w:val="002B5648"/>
    <w:rsid w:val="002C4069"/>
    <w:rsid w:val="002C73B6"/>
    <w:rsid w:val="002D01D5"/>
    <w:rsid w:val="002D203F"/>
    <w:rsid w:val="002D5F0B"/>
    <w:rsid w:val="002E3C35"/>
    <w:rsid w:val="002E74A6"/>
    <w:rsid w:val="002E78AD"/>
    <w:rsid w:val="002F2BEA"/>
    <w:rsid w:val="002F5298"/>
    <w:rsid w:val="003021D2"/>
    <w:rsid w:val="00325C97"/>
    <w:rsid w:val="00326AE0"/>
    <w:rsid w:val="00333E7A"/>
    <w:rsid w:val="00337E4F"/>
    <w:rsid w:val="00340A86"/>
    <w:rsid w:val="00340C36"/>
    <w:rsid w:val="0034166F"/>
    <w:rsid w:val="003427D4"/>
    <w:rsid w:val="00346A9D"/>
    <w:rsid w:val="0035561A"/>
    <w:rsid w:val="003678F1"/>
    <w:rsid w:val="00392559"/>
    <w:rsid w:val="0039376F"/>
    <w:rsid w:val="003958C9"/>
    <w:rsid w:val="003A287B"/>
    <w:rsid w:val="003A5C85"/>
    <w:rsid w:val="003A61B1"/>
    <w:rsid w:val="003B0050"/>
    <w:rsid w:val="003B6DC3"/>
    <w:rsid w:val="003D5F47"/>
    <w:rsid w:val="003D6312"/>
    <w:rsid w:val="003E0E17"/>
    <w:rsid w:val="003E4624"/>
    <w:rsid w:val="003E7C74"/>
    <w:rsid w:val="003F03AE"/>
    <w:rsid w:val="003F31C6"/>
    <w:rsid w:val="003F6369"/>
    <w:rsid w:val="0040096A"/>
    <w:rsid w:val="0040225B"/>
    <w:rsid w:val="00402DA2"/>
    <w:rsid w:val="00425AC2"/>
    <w:rsid w:val="0043150E"/>
    <w:rsid w:val="00433B60"/>
    <w:rsid w:val="0044331E"/>
    <w:rsid w:val="0044771F"/>
    <w:rsid w:val="00460AF7"/>
    <w:rsid w:val="0046763E"/>
    <w:rsid w:val="004737CE"/>
    <w:rsid w:val="00473FE0"/>
    <w:rsid w:val="00482889"/>
    <w:rsid w:val="0048701A"/>
    <w:rsid w:val="0049452E"/>
    <w:rsid w:val="004953E4"/>
    <w:rsid w:val="004A50C8"/>
    <w:rsid w:val="004A7A69"/>
    <w:rsid w:val="004B151D"/>
    <w:rsid w:val="004B7DC0"/>
    <w:rsid w:val="004C0D22"/>
    <w:rsid w:val="004C305B"/>
    <w:rsid w:val="004C46C2"/>
    <w:rsid w:val="004C7243"/>
    <w:rsid w:val="004D621D"/>
    <w:rsid w:val="004E0EE3"/>
    <w:rsid w:val="004E21DE"/>
    <w:rsid w:val="004E3C57"/>
    <w:rsid w:val="004E3CB2"/>
    <w:rsid w:val="004E5533"/>
    <w:rsid w:val="004E7475"/>
    <w:rsid w:val="00506F1D"/>
    <w:rsid w:val="00514892"/>
    <w:rsid w:val="00514F86"/>
    <w:rsid w:val="00521674"/>
    <w:rsid w:val="00525813"/>
    <w:rsid w:val="005341E0"/>
    <w:rsid w:val="0053513F"/>
    <w:rsid w:val="00542157"/>
    <w:rsid w:val="00544346"/>
    <w:rsid w:val="00545620"/>
    <w:rsid w:val="00552FD6"/>
    <w:rsid w:val="00574405"/>
    <w:rsid w:val="00575B24"/>
    <w:rsid w:val="005764ED"/>
    <w:rsid w:val="005831FC"/>
    <w:rsid w:val="00583503"/>
    <w:rsid w:val="005854B0"/>
    <w:rsid w:val="00594219"/>
    <w:rsid w:val="0059721B"/>
    <w:rsid w:val="005A0DAD"/>
    <w:rsid w:val="005A0E21"/>
    <w:rsid w:val="005A2EA7"/>
    <w:rsid w:val="005B05D9"/>
    <w:rsid w:val="005B15D8"/>
    <w:rsid w:val="005B3A34"/>
    <w:rsid w:val="005C072F"/>
    <w:rsid w:val="005D49AF"/>
    <w:rsid w:val="005E03B0"/>
    <w:rsid w:val="005E415C"/>
    <w:rsid w:val="005E50A6"/>
    <w:rsid w:val="005E71ED"/>
    <w:rsid w:val="005E7946"/>
    <w:rsid w:val="005F7475"/>
    <w:rsid w:val="00611299"/>
    <w:rsid w:val="00613B4D"/>
    <w:rsid w:val="006141ED"/>
    <w:rsid w:val="00616365"/>
    <w:rsid w:val="00616B1C"/>
    <w:rsid w:val="00616F3B"/>
    <w:rsid w:val="006200DD"/>
    <w:rsid w:val="006249A7"/>
    <w:rsid w:val="006351D9"/>
    <w:rsid w:val="00640F2E"/>
    <w:rsid w:val="0064225B"/>
    <w:rsid w:val="006443DA"/>
    <w:rsid w:val="00650F97"/>
    <w:rsid w:val="006547DE"/>
    <w:rsid w:val="00665952"/>
    <w:rsid w:val="0067315A"/>
    <w:rsid w:val="00673922"/>
    <w:rsid w:val="006763F9"/>
    <w:rsid w:val="00680C40"/>
    <w:rsid w:val="00681584"/>
    <w:rsid w:val="00683DB9"/>
    <w:rsid w:val="006949BC"/>
    <w:rsid w:val="006A29E0"/>
    <w:rsid w:val="006A2D7F"/>
    <w:rsid w:val="006A6E1D"/>
    <w:rsid w:val="006B1B28"/>
    <w:rsid w:val="006B598F"/>
    <w:rsid w:val="006B727C"/>
    <w:rsid w:val="006C38C9"/>
    <w:rsid w:val="006D1229"/>
    <w:rsid w:val="006D372F"/>
    <w:rsid w:val="006D7A18"/>
    <w:rsid w:val="006E09A1"/>
    <w:rsid w:val="006E4474"/>
    <w:rsid w:val="006F25ED"/>
    <w:rsid w:val="00701388"/>
    <w:rsid w:val="007023D7"/>
    <w:rsid w:val="00710CF4"/>
    <w:rsid w:val="00712D20"/>
    <w:rsid w:val="00723200"/>
    <w:rsid w:val="00723B7F"/>
    <w:rsid w:val="00725861"/>
    <w:rsid w:val="00730CCD"/>
    <w:rsid w:val="0073393A"/>
    <w:rsid w:val="0073539D"/>
    <w:rsid w:val="00737DBF"/>
    <w:rsid w:val="007429FE"/>
    <w:rsid w:val="00743118"/>
    <w:rsid w:val="0075132D"/>
    <w:rsid w:val="00751A0E"/>
    <w:rsid w:val="0075301F"/>
    <w:rsid w:val="00757991"/>
    <w:rsid w:val="007674F9"/>
    <w:rsid w:val="00767B8A"/>
    <w:rsid w:val="007715B6"/>
    <w:rsid w:val="00774F55"/>
    <w:rsid w:val="00775481"/>
    <w:rsid w:val="007851A1"/>
    <w:rsid w:val="00791474"/>
    <w:rsid w:val="0079297D"/>
    <w:rsid w:val="00794840"/>
    <w:rsid w:val="007A00C7"/>
    <w:rsid w:val="007A233B"/>
    <w:rsid w:val="007A63A8"/>
    <w:rsid w:val="007A65C7"/>
    <w:rsid w:val="007A6B53"/>
    <w:rsid w:val="007B4863"/>
    <w:rsid w:val="007C65E6"/>
    <w:rsid w:val="007D406B"/>
    <w:rsid w:val="007D4407"/>
    <w:rsid w:val="007E1CA3"/>
    <w:rsid w:val="007E2A5A"/>
    <w:rsid w:val="007E4DFB"/>
    <w:rsid w:val="00803999"/>
    <w:rsid w:val="00810EE9"/>
    <w:rsid w:val="00812D62"/>
    <w:rsid w:val="00812F29"/>
    <w:rsid w:val="008139BE"/>
    <w:rsid w:val="008204A8"/>
    <w:rsid w:val="00821713"/>
    <w:rsid w:val="00827050"/>
    <w:rsid w:val="00827E07"/>
    <w:rsid w:val="0083278B"/>
    <w:rsid w:val="008336D2"/>
    <w:rsid w:val="00834538"/>
    <w:rsid w:val="008363B5"/>
    <w:rsid w:val="00840453"/>
    <w:rsid w:val="0084183C"/>
    <w:rsid w:val="00843423"/>
    <w:rsid w:val="00850E89"/>
    <w:rsid w:val="008644EC"/>
    <w:rsid w:val="008675B5"/>
    <w:rsid w:val="00867DC7"/>
    <w:rsid w:val="00876BB2"/>
    <w:rsid w:val="00877622"/>
    <w:rsid w:val="008930E4"/>
    <w:rsid w:val="00893821"/>
    <w:rsid w:val="00893D39"/>
    <w:rsid w:val="00895542"/>
    <w:rsid w:val="008A7B9C"/>
    <w:rsid w:val="008B11D2"/>
    <w:rsid w:val="008B39FA"/>
    <w:rsid w:val="008B4754"/>
    <w:rsid w:val="008C2245"/>
    <w:rsid w:val="008C2351"/>
    <w:rsid w:val="008D3048"/>
    <w:rsid w:val="008D63B1"/>
    <w:rsid w:val="008E6A7A"/>
    <w:rsid w:val="008F1038"/>
    <w:rsid w:val="008F4A41"/>
    <w:rsid w:val="008F6FDC"/>
    <w:rsid w:val="008F7046"/>
    <w:rsid w:val="009005FC"/>
    <w:rsid w:val="00910EAA"/>
    <w:rsid w:val="0092189A"/>
    <w:rsid w:val="00922E5A"/>
    <w:rsid w:val="00925CAB"/>
    <w:rsid w:val="009301ED"/>
    <w:rsid w:val="0094179D"/>
    <w:rsid w:val="00943315"/>
    <w:rsid w:val="00946C27"/>
    <w:rsid w:val="00950804"/>
    <w:rsid w:val="009657DE"/>
    <w:rsid w:val="009721BF"/>
    <w:rsid w:val="009901F9"/>
    <w:rsid w:val="009955D1"/>
    <w:rsid w:val="009A1FCC"/>
    <w:rsid w:val="009A4F3D"/>
    <w:rsid w:val="009B1EFD"/>
    <w:rsid w:val="009B2E95"/>
    <w:rsid w:val="009B36F8"/>
    <w:rsid w:val="009B696B"/>
    <w:rsid w:val="009B7671"/>
    <w:rsid w:val="009C4940"/>
    <w:rsid w:val="009C7942"/>
    <w:rsid w:val="009D0012"/>
    <w:rsid w:val="009D0CE6"/>
    <w:rsid w:val="009D5555"/>
    <w:rsid w:val="009E5BA1"/>
    <w:rsid w:val="009F056E"/>
    <w:rsid w:val="00A0489A"/>
    <w:rsid w:val="00A06D14"/>
    <w:rsid w:val="00A15FD0"/>
    <w:rsid w:val="00A174C9"/>
    <w:rsid w:val="00A24F3D"/>
    <w:rsid w:val="00A26DCD"/>
    <w:rsid w:val="00A314BB"/>
    <w:rsid w:val="00A31A64"/>
    <w:rsid w:val="00A32B7D"/>
    <w:rsid w:val="00A333DD"/>
    <w:rsid w:val="00A4222E"/>
    <w:rsid w:val="00A4248A"/>
    <w:rsid w:val="00A461C9"/>
    <w:rsid w:val="00A46C66"/>
    <w:rsid w:val="00A5596B"/>
    <w:rsid w:val="00A55CBB"/>
    <w:rsid w:val="00A646B3"/>
    <w:rsid w:val="00A66E46"/>
    <w:rsid w:val="00A6739B"/>
    <w:rsid w:val="00A726D9"/>
    <w:rsid w:val="00A90413"/>
    <w:rsid w:val="00A9368E"/>
    <w:rsid w:val="00A9396B"/>
    <w:rsid w:val="00A9594F"/>
    <w:rsid w:val="00AA04B8"/>
    <w:rsid w:val="00AA728C"/>
    <w:rsid w:val="00AB08D2"/>
    <w:rsid w:val="00AB0A36"/>
    <w:rsid w:val="00AB0A9C"/>
    <w:rsid w:val="00AB7119"/>
    <w:rsid w:val="00AC3C13"/>
    <w:rsid w:val="00AC437A"/>
    <w:rsid w:val="00AC776F"/>
    <w:rsid w:val="00AD4378"/>
    <w:rsid w:val="00AD5855"/>
    <w:rsid w:val="00AD7817"/>
    <w:rsid w:val="00AE7500"/>
    <w:rsid w:val="00AE7F87"/>
    <w:rsid w:val="00AF3542"/>
    <w:rsid w:val="00AF5ABE"/>
    <w:rsid w:val="00AF6C8D"/>
    <w:rsid w:val="00B00415"/>
    <w:rsid w:val="00B03B35"/>
    <w:rsid w:val="00B03C2A"/>
    <w:rsid w:val="00B1000D"/>
    <w:rsid w:val="00B10134"/>
    <w:rsid w:val="00B16BFE"/>
    <w:rsid w:val="00B43853"/>
    <w:rsid w:val="00B44589"/>
    <w:rsid w:val="00B500E5"/>
    <w:rsid w:val="00B530C0"/>
    <w:rsid w:val="00B72685"/>
    <w:rsid w:val="00B7427D"/>
    <w:rsid w:val="00B82A5B"/>
    <w:rsid w:val="00B849AF"/>
    <w:rsid w:val="00B87429"/>
    <w:rsid w:val="00BA315C"/>
    <w:rsid w:val="00BA39BB"/>
    <w:rsid w:val="00BA3B3D"/>
    <w:rsid w:val="00BA5438"/>
    <w:rsid w:val="00BA5EA6"/>
    <w:rsid w:val="00BA6A2B"/>
    <w:rsid w:val="00BB2BCE"/>
    <w:rsid w:val="00BB7EEA"/>
    <w:rsid w:val="00BC3194"/>
    <w:rsid w:val="00BC4174"/>
    <w:rsid w:val="00BD1909"/>
    <w:rsid w:val="00BE5E16"/>
    <w:rsid w:val="00BE5FD1"/>
    <w:rsid w:val="00BE601C"/>
    <w:rsid w:val="00C00684"/>
    <w:rsid w:val="00C05E74"/>
    <w:rsid w:val="00C06E05"/>
    <w:rsid w:val="00C06EAF"/>
    <w:rsid w:val="00C1031F"/>
    <w:rsid w:val="00C13EBC"/>
    <w:rsid w:val="00C14B14"/>
    <w:rsid w:val="00C17370"/>
    <w:rsid w:val="00C2054D"/>
    <w:rsid w:val="00C252EB"/>
    <w:rsid w:val="00C26EC0"/>
    <w:rsid w:val="00C41CD3"/>
    <w:rsid w:val="00C450E0"/>
    <w:rsid w:val="00C56C77"/>
    <w:rsid w:val="00C638BB"/>
    <w:rsid w:val="00C70CCD"/>
    <w:rsid w:val="00C84923"/>
    <w:rsid w:val="00C86AA3"/>
    <w:rsid w:val="00C96B16"/>
    <w:rsid w:val="00C96B56"/>
    <w:rsid w:val="00C96EDF"/>
    <w:rsid w:val="00CA7D72"/>
    <w:rsid w:val="00CB059B"/>
    <w:rsid w:val="00CB719F"/>
    <w:rsid w:val="00CB7B3E"/>
    <w:rsid w:val="00CC3427"/>
    <w:rsid w:val="00CC462D"/>
    <w:rsid w:val="00CC739D"/>
    <w:rsid w:val="00CD160E"/>
    <w:rsid w:val="00CD2631"/>
    <w:rsid w:val="00CD5251"/>
    <w:rsid w:val="00CF36EE"/>
    <w:rsid w:val="00CF4D24"/>
    <w:rsid w:val="00CF55C7"/>
    <w:rsid w:val="00D0330C"/>
    <w:rsid w:val="00D04468"/>
    <w:rsid w:val="00D05519"/>
    <w:rsid w:val="00D075F9"/>
    <w:rsid w:val="00D1381B"/>
    <w:rsid w:val="00D22AA6"/>
    <w:rsid w:val="00D251DF"/>
    <w:rsid w:val="00D3066D"/>
    <w:rsid w:val="00D36257"/>
    <w:rsid w:val="00D41E0F"/>
    <w:rsid w:val="00D4687E"/>
    <w:rsid w:val="00D52487"/>
    <w:rsid w:val="00D53A12"/>
    <w:rsid w:val="00D60C42"/>
    <w:rsid w:val="00D62B45"/>
    <w:rsid w:val="00D65A1B"/>
    <w:rsid w:val="00D71759"/>
    <w:rsid w:val="00D837A6"/>
    <w:rsid w:val="00D87254"/>
    <w:rsid w:val="00D87E2A"/>
    <w:rsid w:val="00D902D2"/>
    <w:rsid w:val="00D90336"/>
    <w:rsid w:val="00DA4E91"/>
    <w:rsid w:val="00DA5DA0"/>
    <w:rsid w:val="00DB0C43"/>
    <w:rsid w:val="00DC0C39"/>
    <w:rsid w:val="00DC6139"/>
    <w:rsid w:val="00DC78A1"/>
    <w:rsid w:val="00DE3354"/>
    <w:rsid w:val="00DE654D"/>
    <w:rsid w:val="00DF48BF"/>
    <w:rsid w:val="00DF6781"/>
    <w:rsid w:val="00DF7DCD"/>
    <w:rsid w:val="00E142F9"/>
    <w:rsid w:val="00E22A39"/>
    <w:rsid w:val="00E37FE9"/>
    <w:rsid w:val="00E42112"/>
    <w:rsid w:val="00E43B0B"/>
    <w:rsid w:val="00E45378"/>
    <w:rsid w:val="00E50B7D"/>
    <w:rsid w:val="00E52D38"/>
    <w:rsid w:val="00E609A0"/>
    <w:rsid w:val="00E626A6"/>
    <w:rsid w:val="00E743A6"/>
    <w:rsid w:val="00E904A1"/>
    <w:rsid w:val="00EA3C07"/>
    <w:rsid w:val="00EB3DEC"/>
    <w:rsid w:val="00EB7D28"/>
    <w:rsid w:val="00EC0D0C"/>
    <w:rsid w:val="00ED3E1B"/>
    <w:rsid w:val="00ED4A2C"/>
    <w:rsid w:val="00EF41C8"/>
    <w:rsid w:val="00EF481C"/>
    <w:rsid w:val="00EF6940"/>
    <w:rsid w:val="00EF737C"/>
    <w:rsid w:val="00F030EE"/>
    <w:rsid w:val="00F04AB1"/>
    <w:rsid w:val="00F05BB0"/>
    <w:rsid w:val="00F0716B"/>
    <w:rsid w:val="00F123FA"/>
    <w:rsid w:val="00F14CD7"/>
    <w:rsid w:val="00F15871"/>
    <w:rsid w:val="00F2044A"/>
    <w:rsid w:val="00F20BFC"/>
    <w:rsid w:val="00F21F5A"/>
    <w:rsid w:val="00F22888"/>
    <w:rsid w:val="00F24D5F"/>
    <w:rsid w:val="00F315CD"/>
    <w:rsid w:val="00F452BD"/>
    <w:rsid w:val="00F557F5"/>
    <w:rsid w:val="00F5793B"/>
    <w:rsid w:val="00F65095"/>
    <w:rsid w:val="00F726C3"/>
    <w:rsid w:val="00F761B7"/>
    <w:rsid w:val="00F803D9"/>
    <w:rsid w:val="00F81E6F"/>
    <w:rsid w:val="00F820CA"/>
    <w:rsid w:val="00F8554C"/>
    <w:rsid w:val="00F869A6"/>
    <w:rsid w:val="00F95F82"/>
    <w:rsid w:val="00F97A90"/>
    <w:rsid w:val="00FA321B"/>
    <w:rsid w:val="00FA3CB7"/>
    <w:rsid w:val="00FA66A6"/>
    <w:rsid w:val="00FB0E22"/>
    <w:rsid w:val="00FB5C8A"/>
    <w:rsid w:val="00FB6587"/>
    <w:rsid w:val="00FC2F35"/>
    <w:rsid w:val="00FC3FD7"/>
    <w:rsid w:val="00FC6DA2"/>
    <w:rsid w:val="00FC6E6E"/>
    <w:rsid w:val="00FD1FC6"/>
    <w:rsid w:val="00FE4AB7"/>
    <w:rsid w:val="00FE5869"/>
    <w:rsid w:val="00FF4E3A"/>
    <w:rsid w:val="00FF5872"/>
    <w:rsid w:val="00FF5FEB"/>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13A24591"/>
  <w15:chartTrackingRefBased/>
  <w15:docId w15:val="{9972E7D1-5D40-429C-93EC-1DBE9CEC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E3CB2"/>
    <w:rPr>
      <w:sz w:val="24"/>
      <w:lang w:val="en-US" w:eastAsia="en-US"/>
    </w:rPr>
  </w:style>
  <w:style w:type="paragraph" w:styleId="Nagwek1">
    <w:name w:val="heading 1"/>
    <w:basedOn w:val="Normalny"/>
    <w:next w:val="Paragraph"/>
    <w:pPr>
      <w:keepNext/>
      <w:spacing w:before="240" w:after="240"/>
      <w:jc w:val="center"/>
      <w:outlineLvl w:val="0"/>
    </w:pPr>
    <w:rPr>
      <w:b/>
      <w:caps/>
    </w:rPr>
  </w:style>
  <w:style w:type="paragraph" w:styleId="Nagwek2">
    <w:name w:val="heading 2"/>
    <w:basedOn w:val="Normalny"/>
    <w:next w:val="Paragraph"/>
    <w:pPr>
      <w:keepNext/>
      <w:spacing w:before="240" w:after="240"/>
      <w:jc w:val="center"/>
      <w:outlineLvl w:val="1"/>
    </w:pPr>
    <w:rPr>
      <w:b/>
    </w:rPr>
  </w:style>
  <w:style w:type="paragraph" w:styleId="Nagwek3">
    <w:name w:val="heading 3"/>
    <w:basedOn w:val="Normalny"/>
    <w:next w:val="Normalny"/>
    <w:rsid w:val="005854B0"/>
    <w:pPr>
      <w:keepNext/>
      <w:spacing w:before="240" w:after="240"/>
      <w:jc w:val="center"/>
      <w:outlineLvl w:val="2"/>
    </w:pPr>
    <w:rPr>
      <w:i/>
      <w:iCs/>
      <w:sz w:val="20"/>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Pr>
      <w:sz w:val="16"/>
    </w:rPr>
  </w:style>
  <w:style w:type="paragraph" w:customStyle="1" w:styleId="PaperTitle">
    <w:name w:val="Paper Title"/>
    <w:basedOn w:val="Normalny"/>
    <w:next w:val="AuthorName"/>
    <w:pPr>
      <w:spacing w:before="1200"/>
      <w:jc w:val="center"/>
    </w:pPr>
    <w:rPr>
      <w:b/>
      <w:sz w:val="36"/>
    </w:rPr>
  </w:style>
  <w:style w:type="paragraph" w:customStyle="1" w:styleId="AuthorName">
    <w:name w:val="Author Name"/>
    <w:basedOn w:val="Normalny"/>
    <w:next w:val="AuthorAffiliation"/>
    <w:pPr>
      <w:spacing w:before="360" w:after="360"/>
      <w:jc w:val="center"/>
    </w:pPr>
    <w:rPr>
      <w:sz w:val="28"/>
    </w:rPr>
  </w:style>
  <w:style w:type="paragraph" w:customStyle="1" w:styleId="AuthorAffiliation">
    <w:name w:val="Author Affiliation"/>
    <w:basedOn w:val="Normalny"/>
    <w:pPr>
      <w:jc w:val="center"/>
    </w:pPr>
    <w:rPr>
      <w:i/>
      <w:sz w:val="20"/>
    </w:rPr>
  </w:style>
  <w:style w:type="paragraph" w:customStyle="1" w:styleId="Abstract">
    <w:name w:val="Abstract"/>
    <w:basedOn w:val="Normalny"/>
    <w:next w:val="Nagwek1"/>
    <w:rsid w:val="00F20BFC"/>
    <w:pPr>
      <w:spacing w:before="360" w:after="360"/>
      <w:ind w:left="289" w:right="289"/>
      <w:jc w:val="both"/>
    </w:pPr>
    <w:rPr>
      <w:sz w:val="18"/>
    </w:rPr>
  </w:style>
  <w:style w:type="paragraph" w:customStyle="1" w:styleId="Paragraph">
    <w:name w:val="Paragraph"/>
    <w:basedOn w:val="Normalny"/>
    <w:rsid w:val="005E415C"/>
    <w:pPr>
      <w:ind w:firstLine="284"/>
      <w:jc w:val="both"/>
    </w:pPr>
    <w:rPr>
      <w:sz w:val="20"/>
    </w:rPr>
  </w:style>
  <w:style w:type="character" w:styleId="Odwoanieprzypisudolnego">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Tekstdymka">
    <w:name w:val="Balloon Text"/>
    <w:basedOn w:val="Normalny"/>
    <w:link w:val="TekstdymkaZnak"/>
    <w:rsid w:val="00114AB1"/>
    <w:rPr>
      <w:rFonts w:ascii="Tahoma" w:hAnsi="Tahoma" w:cs="Tahoma"/>
      <w:sz w:val="16"/>
      <w:szCs w:val="16"/>
    </w:rPr>
  </w:style>
  <w:style w:type="character" w:customStyle="1" w:styleId="TekstdymkaZnak">
    <w:name w:val="Tekst dymka Znak"/>
    <w:link w:val="Tekstdymka"/>
    <w:rsid w:val="00114AB1"/>
    <w:rPr>
      <w:rFonts w:ascii="Tahoma" w:hAnsi="Tahoma" w:cs="Tahoma"/>
      <w:sz w:val="16"/>
      <w:szCs w:val="16"/>
      <w:lang w:val="en-US" w:eastAsia="en-US"/>
    </w:rPr>
  </w:style>
  <w:style w:type="character" w:styleId="Hipercze">
    <w:name w:val="Hyperlink"/>
    <w:rPr>
      <w:color w:val="0000FF"/>
      <w:u w:val="single"/>
    </w:rPr>
  </w:style>
  <w:style w:type="table" w:styleId="Tabela-Siatka">
    <w:name w:val="Table Grid"/>
    <w:basedOn w:val="Standardowy"/>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ny"/>
    <w:rsid w:val="001D469C"/>
    <w:pPr>
      <w:jc w:val="center"/>
    </w:pPr>
    <w:rPr>
      <w:sz w:val="20"/>
    </w:rPr>
  </w:style>
  <w:style w:type="paragraph" w:styleId="NormalnyWeb">
    <w:name w:val="Normal (Web)"/>
    <w:basedOn w:val="Normalny"/>
    <w:uiPriority w:val="99"/>
    <w:unhideWhenUsed/>
    <w:rsid w:val="005F7475"/>
    <w:pPr>
      <w:spacing w:before="100" w:beforeAutospacing="1" w:after="100" w:afterAutospacing="1"/>
    </w:pPr>
    <w:rPr>
      <w:szCs w:val="24"/>
      <w:lang w:val="en-GB" w:eastAsia="en-GB"/>
    </w:rPr>
  </w:style>
  <w:style w:type="character" w:styleId="Pogrubienie">
    <w:name w:val="Strong"/>
    <w:uiPriority w:val="22"/>
    <w:qFormat/>
    <w:rsid w:val="005F7475"/>
    <w:rPr>
      <w:b/>
      <w:bCs/>
    </w:rPr>
  </w:style>
  <w:style w:type="character" w:styleId="Uwydatnienie">
    <w:name w:val="Emphasis"/>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customStyle="1" w:styleId="Nierozpoznanawzmianka1">
    <w:name w:val="Nierozpoznana wzmianka1"/>
    <w:uiPriority w:val="99"/>
    <w:semiHidden/>
    <w:unhideWhenUsed/>
    <w:rsid w:val="00613B4D"/>
    <w:rPr>
      <w:color w:val="808080"/>
      <w:shd w:val="clear" w:color="auto" w:fill="E6E6E6"/>
    </w:rPr>
  </w:style>
  <w:style w:type="paragraph" w:styleId="Akapitzlist">
    <w:name w:val="List Paragraph"/>
    <w:basedOn w:val="Normalny"/>
    <w:uiPriority w:val="34"/>
    <w:qFormat/>
    <w:rsid w:val="006E4474"/>
    <w:pPr>
      <w:ind w:left="720"/>
      <w:contextualSpacing/>
    </w:pPr>
  </w:style>
  <w:style w:type="character" w:styleId="Odwoaniedokomentarza">
    <w:name w:val="annotation reference"/>
    <w:semiHidden/>
    <w:unhideWhenUsed/>
    <w:rsid w:val="005E71ED"/>
    <w:rPr>
      <w:sz w:val="16"/>
      <w:szCs w:val="16"/>
    </w:rPr>
  </w:style>
  <w:style w:type="paragraph" w:styleId="Tekstkomentarza">
    <w:name w:val="annotation text"/>
    <w:basedOn w:val="Normalny"/>
    <w:link w:val="TekstkomentarzaZnak"/>
    <w:semiHidden/>
    <w:unhideWhenUsed/>
    <w:rsid w:val="005E71ED"/>
    <w:rPr>
      <w:sz w:val="20"/>
    </w:rPr>
  </w:style>
  <w:style w:type="character" w:customStyle="1" w:styleId="TekstkomentarzaZnak">
    <w:name w:val="Tekst komentarza Znak"/>
    <w:link w:val="Tekstkomentarza"/>
    <w:semiHidden/>
    <w:rsid w:val="005E71ED"/>
    <w:rPr>
      <w:lang w:val="en-US" w:eastAsia="en-US"/>
    </w:rPr>
  </w:style>
  <w:style w:type="paragraph" w:styleId="Tematkomentarza">
    <w:name w:val="annotation subject"/>
    <w:basedOn w:val="Tekstkomentarza"/>
    <w:next w:val="Tekstkomentarza"/>
    <w:link w:val="TematkomentarzaZnak"/>
    <w:semiHidden/>
    <w:unhideWhenUsed/>
    <w:rsid w:val="005E71ED"/>
    <w:rPr>
      <w:b/>
      <w:bCs/>
    </w:rPr>
  </w:style>
  <w:style w:type="character" w:customStyle="1" w:styleId="TematkomentarzaZnak">
    <w:name w:val="Temat komentarza Znak"/>
    <w:link w:val="Tematkomentarza"/>
    <w:semiHidden/>
    <w:rsid w:val="005E71ED"/>
    <w:rPr>
      <w:b/>
      <w:bCs/>
      <w:lang w:val="en-US" w:eastAsia="en-US"/>
    </w:rPr>
  </w:style>
  <w:style w:type="character" w:styleId="Nierozpoznanawzmianka">
    <w:name w:val="Unresolved Mention"/>
    <w:uiPriority w:val="99"/>
    <w:semiHidden/>
    <w:unhideWhenUsed/>
    <w:rsid w:val="009301ED"/>
    <w:rPr>
      <w:color w:val="605E5C"/>
      <w:shd w:val="clear" w:color="auto" w:fill="E1DFDD"/>
    </w:rPr>
  </w:style>
  <w:style w:type="paragraph" w:customStyle="1" w:styleId="Rab1">
    <w:name w:val="R_ab1"/>
    <w:next w:val="Normalny"/>
    <w:autoRedefine/>
    <w:qFormat/>
    <w:rsid w:val="009301ED"/>
    <w:pPr>
      <w:suppressAutoHyphens/>
      <w:spacing w:before="120"/>
      <w:ind w:left="567" w:right="567"/>
      <w:jc w:val="both"/>
    </w:pPr>
    <w:rPr>
      <w:rFonts w:eastAsia="SimSun"/>
      <w:kern w:val="2"/>
      <w:sz w:val="18"/>
      <w:lang w:val="en-GB"/>
    </w:rPr>
  </w:style>
  <w:style w:type="paragraph" w:customStyle="1" w:styleId="Rab2">
    <w:name w:val="R_ab2"/>
    <w:basedOn w:val="Rab1"/>
    <w:next w:val="Normalny"/>
    <w:autoRedefine/>
    <w:qFormat/>
    <w:rsid w:val="009301ED"/>
    <w:pPr>
      <w:spacing w:before="60"/>
    </w:pPr>
  </w:style>
  <w:style w:type="paragraph" w:customStyle="1" w:styleId="Rafiliacja">
    <w:name w:val="R_afiliacja"/>
    <w:basedOn w:val="Normalny"/>
    <w:link w:val="RafiliacjaZnak"/>
    <w:qFormat/>
    <w:rsid w:val="009301ED"/>
    <w:pPr>
      <w:suppressAutoHyphens/>
      <w:jc w:val="center"/>
    </w:pPr>
    <w:rPr>
      <w:rFonts w:eastAsia="Calibri"/>
      <w:i/>
      <w:kern w:val="2"/>
      <w:sz w:val="20"/>
      <w:szCs w:val="28"/>
      <w:lang w:val="pl-PL"/>
    </w:rPr>
  </w:style>
  <w:style w:type="character" w:customStyle="1" w:styleId="RafiliacjaZnak">
    <w:name w:val="R_afiliacja Znak"/>
    <w:link w:val="Rafiliacja"/>
    <w:rsid w:val="009301ED"/>
    <w:rPr>
      <w:rFonts w:eastAsia="Calibri"/>
      <w:i/>
      <w:kern w:val="2"/>
      <w:szCs w:val="28"/>
      <w:lang w:eastAsia="en-US"/>
    </w:rPr>
  </w:style>
  <w:style w:type="paragraph" w:customStyle="1" w:styleId="Rauco">
    <w:name w:val="R_au_co"/>
    <w:basedOn w:val="Rafiliacja"/>
    <w:autoRedefine/>
    <w:qFormat/>
    <w:rsid w:val="009301ED"/>
    <w:pPr>
      <w:spacing w:before="120"/>
    </w:pPr>
    <w:rPr>
      <w:lang w:val="en-GB"/>
    </w:rPr>
  </w:style>
  <w:style w:type="paragraph" w:customStyle="1" w:styleId="Rn1">
    <w:name w:val="R_n1"/>
    <w:basedOn w:val="Normalny"/>
    <w:link w:val="Rn1Znak"/>
    <w:qFormat/>
    <w:rsid w:val="009301ED"/>
    <w:pPr>
      <w:suppressAutoHyphens/>
      <w:spacing w:before="240" w:after="120"/>
      <w:jc w:val="both"/>
    </w:pPr>
    <w:rPr>
      <w:rFonts w:eastAsia="Calibri"/>
      <w:b/>
      <w:kern w:val="2"/>
      <w:szCs w:val="22"/>
      <w:lang w:val="pl-PL"/>
    </w:rPr>
  </w:style>
  <w:style w:type="character" w:customStyle="1" w:styleId="Rn1Znak">
    <w:name w:val="R_n1 Znak"/>
    <w:link w:val="Rn1"/>
    <w:rsid w:val="009301ED"/>
    <w:rPr>
      <w:rFonts w:eastAsia="Calibri"/>
      <w:b/>
      <w:kern w:val="2"/>
      <w:sz w:val="24"/>
      <w:szCs w:val="22"/>
      <w:lang w:eastAsia="en-US"/>
    </w:rPr>
  </w:style>
  <w:style w:type="paragraph" w:customStyle="1" w:styleId="Rn2">
    <w:name w:val="R_n2"/>
    <w:basedOn w:val="Rn1"/>
    <w:link w:val="Rn2Znak"/>
    <w:qFormat/>
    <w:rsid w:val="009301ED"/>
    <w:pPr>
      <w:spacing w:before="120"/>
      <w:jc w:val="left"/>
    </w:pPr>
    <w:rPr>
      <w:sz w:val="22"/>
    </w:rPr>
  </w:style>
  <w:style w:type="character" w:customStyle="1" w:styleId="Rn2Znak">
    <w:name w:val="R_n2 Znak"/>
    <w:link w:val="Rn2"/>
    <w:rsid w:val="009301ED"/>
    <w:rPr>
      <w:rFonts w:eastAsia="Calibri"/>
      <w:b/>
      <w:kern w:val="2"/>
      <w:sz w:val="22"/>
      <w:szCs w:val="22"/>
      <w:lang w:eastAsia="en-US"/>
    </w:rPr>
  </w:style>
  <w:style w:type="paragraph" w:customStyle="1" w:styleId="Rtytu">
    <w:name w:val="R_tytuł"/>
    <w:basedOn w:val="Rn2"/>
    <w:link w:val="RtytuZnak"/>
    <w:autoRedefine/>
    <w:qFormat/>
    <w:rsid w:val="009301ED"/>
    <w:pPr>
      <w:spacing w:before="240" w:after="0"/>
      <w:jc w:val="center"/>
    </w:pPr>
    <w:rPr>
      <w:sz w:val="24"/>
      <w:szCs w:val="28"/>
    </w:rPr>
  </w:style>
  <w:style w:type="character" w:customStyle="1" w:styleId="RtytuZnak">
    <w:name w:val="R_tytuł Znak"/>
    <w:link w:val="Rtytu"/>
    <w:rsid w:val="009301ED"/>
    <w:rPr>
      <w:rFonts w:eastAsia="Calibri"/>
      <w:b/>
      <w:kern w:val="2"/>
      <w:sz w:val="24"/>
      <w:szCs w:val="28"/>
      <w:lang w:eastAsia="en-US"/>
    </w:rPr>
  </w:style>
  <w:style w:type="paragraph" w:customStyle="1" w:styleId="Rautor">
    <w:name w:val="R_autor"/>
    <w:basedOn w:val="Rtytu"/>
    <w:link w:val="RautorZnak"/>
    <w:autoRedefine/>
    <w:qFormat/>
    <w:rsid w:val="009301ED"/>
    <w:pPr>
      <w:spacing w:before="120"/>
    </w:pPr>
    <w:rPr>
      <w:b w:val="0"/>
      <w:i/>
    </w:rPr>
  </w:style>
  <w:style w:type="character" w:customStyle="1" w:styleId="RautorZnak">
    <w:name w:val="R_autor Znak"/>
    <w:link w:val="Rautor"/>
    <w:rsid w:val="009301ED"/>
    <w:rPr>
      <w:rFonts w:eastAsia="Calibri"/>
      <w:i/>
      <w:kern w:val="2"/>
      <w:sz w:val="24"/>
      <w:szCs w:val="28"/>
      <w:lang w:eastAsia="en-US"/>
    </w:rPr>
  </w:style>
  <w:style w:type="paragraph" w:customStyle="1" w:styleId="Rlit">
    <w:name w:val="R_lit"/>
    <w:basedOn w:val="Normalny"/>
    <w:link w:val="RlitZnak"/>
    <w:qFormat/>
    <w:rsid w:val="009301ED"/>
    <w:pPr>
      <w:ind w:left="425" w:hanging="425"/>
      <w:jc w:val="both"/>
    </w:pPr>
    <w:rPr>
      <w:kern w:val="2"/>
      <w:sz w:val="20"/>
      <w:lang w:eastAsia="pl-PL"/>
    </w:rPr>
  </w:style>
  <w:style w:type="character" w:customStyle="1" w:styleId="RlitZnak">
    <w:name w:val="R_lit Znak"/>
    <w:link w:val="Rlit"/>
    <w:rsid w:val="009301ED"/>
    <w:rPr>
      <w:kern w:val="2"/>
      <w:lang w:val="en-US"/>
    </w:rPr>
  </w:style>
  <w:style w:type="paragraph" w:customStyle="1" w:styleId="Rtab">
    <w:name w:val="R_tab"/>
    <w:basedOn w:val="Normalny"/>
    <w:link w:val="RtabZnak"/>
    <w:qFormat/>
    <w:rsid w:val="009301ED"/>
    <w:pPr>
      <w:suppressAutoHyphens/>
      <w:spacing w:after="120"/>
    </w:pPr>
    <w:rPr>
      <w:rFonts w:eastAsia="Calibri"/>
      <w:kern w:val="2"/>
      <w:sz w:val="20"/>
      <w:szCs w:val="22"/>
      <w:lang w:val="pl-PL"/>
    </w:rPr>
  </w:style>
  <w:style w:type="character" w:customStyle="1" w:styleId="RtabZnak">
    <w:name w:val="R_tab Znak"/>
    <w:link w:val="Rtab"/>
    <w:rsid w:val="009301ED"/>
    <w:rPr>
      <w:rFonts w:eastAsia="Calibri"/>
      <w:kern w:val="2"/>
      <w:szCs w:val="22"/>
      <w:lang w:eastAsia="en-US"/>
    </w:rPr>
  </w:style>
  <w:style w:type="paragraph" w:customStyle="1" w:styleId="Rn3">
    <w:name w:val="R_n3"/>
    <w:basedOn w:val="Rtab"/>
    <w:link w:val="Rn3Znak"/>
    <w:qFormat/>
    <w:rsid w:val="009301ED"/>
    <w:pPr>
      <w:spacing w:before="120"/>
    </w:pPr>
    <w:rPr>
      <w:i/>
    </w:rPr>
  </w:style>
  <w:style w:type="character" w:customStyle="1" w:styleId="Rn3Znak">
    <w:name w:val="R_n3 Znak"/>
    <w:link w:val="Rn3"/>
    <w:rsid w:val="009301ED"/>
    <w:rPr>
      <w:rFonts w:eastAsia="Calibri"/>
      <w:i/>
      <w:kern w:val="2"/>
      <w:szCs w:val="22"/>
      <w:lang w:eastAsia="en-US"/>
    </w:rPr>
  </w:style>
  <w:style w:type="paragraph" w:customStyle="1" w:styleId="Rrys">
    <w:name w:val="R_rys"/>
    <w:basedOn w:val="Rafiliacja"/>
    <w:link w:val="RrysZnak"/>
    <w:qFormat/>
    <w:rsid w:val="009301ED"/>
    <w:pPr>
      <w:spacing w:before="120"/>
      <w:jc w:val="left"/>
    </w:pPr>
    <w:rPr>
      <w:i w:val="0"/>
    </w:rPr>
  </w:style>
  <w:style w:type="character" w:customStyle="1" w:styleId="RrysZnak">
    <w:name w:val="R_rys Znak"/>
    <w:link w:val="Rrys"/>
    <w:rsid w:val="009301ED"/>
    <w:rPr>
      <w:rFonts w:eastAsia="Calibri"/>
      <w:kern w:val="2"/>
      <w:szCs w:val="28"/>
      <w:lang w:eastAsia="en-US"/>
    </w:rPr>
  </w:style>
  <w:style w:type="paragraph" w:styleId="Nagwek">
    <w:name w:val="header"/>
    <w:basedOn w:val="Normalny"/>
    <w:link w:val="NagwekZnak"/>
    <w:uiPriority w:val="99"/>
    <w:unhideWhenUsed/>
    <w:rsid w:val="00910EAA"/>
    <w:pPr>
      <w:tabs>
        <w:tab w:val="center" w:pos="4536"/>
        <w:tab w:val="right" w:pos="9072"/>
      </w:tabs>
    </w:pPr>
  </w:style>
  <w:style w:type="character" w:customStyle="1" w:styleId="NagwekZnak">
    <w:name w:val="Nagłówek Znak"/>
    <w:link w:val="Nagwek"/>
    <w:uiPriority w:val="99"/>
    <w:rsid w:val="00910EAA"/>
    <w:rPr>
      <w:sz w:val="24"/>
      <w:lang w:val="en-US" w:eastAsia="en-US"/>
    </w:rPr>
  </w:style>
  <w:style w:type="paragraph" w:styleId="Stopka">
    <w:name w:val="footer"/>
    <w:basedOn w:val="Normalny"/>
    <w:link w:val="StopkaZnak"/>
    <w:uiPriority w:val="99"/>
    <w:unhideWhenUsed/>
    <w:rsid w:val="00910EAA"/>
    <w:pPr>
      <w:tabs>
        <w:tab w:val="center" w:pos="4536"/>
        <w:tab w:val="right" w:pos="9072"/>
      </w:tabs>
    </w:pPr>
  </w:style>
  <w:style w:type="character" w:customStyle="1" w:styleId="StopkaZnak">
    <w:name w:val="Stopka Znak"/>
    <w:link w:val="Stopka"/>
    <w:uiPriority w:val="99"/>
    <w:rsid w:val="00910EA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8_point5_x11_single_column_template</Template>
  <TotalTime>294</TotalTime>
  <Pages>9</Pages>
  <Words>4842</Words>
  <Characters>29058</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Title Goes Here</vt:lpstr>
    </vt:vector>
  </TitlesOfParts>
  <Company/>
  <LinksUpToDate>false</LinksUpToDate>
  <CharactersWithSpaces>33833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subject/>
  <dc:creator>Ruth Levins</dc:creator>
  <cp:keywords/>
  <cp:lastModifiedBy>Janusz ROS</cp:lastModifiedBy>
  <cp:revision>31</cp:revision>
  <cp:lastPrinted>2023-05-14T17:55:00Z</cp:lastPrinted>
  <dcterms:created xsi:type="dcterms:W3CDTF">2023-04-26T06:22:00Z</dcterms:created>
  <dcterms:modified xsi:type="dcterms:W3CDTF">2023-07-28T12:19:00Z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