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C37B1D" w:rsidRPr="00B3731E" w14:paraId="5287054E" w14:textId="77777777" w:rsidTr="007003D9">
        <w:trPr>
          <w:trHeight w:hRule="exact" w:val="142"/>
        </w:trPr>
        <w:tc>
          <w:tcPr>
            <w:tcW w:w="709" w:type="dxa"/>
            <w:vMerge w:val="restart"/>
            <w:shd w:val="clear" w:color="auto" w:fill="auto"/>
            <w:vAlign w:val="center"/>
          </w:tcPr>
          <w:p w14:paraId="5AB665D3" w14:textId="77777777" w:rsidR="00C37B1D" w:rsidRPr="00B3731E" w:rsidRDefault="00C37B1D" w:rsidP="007003D9">
            <w:bookmarkStart w:id="0" w:name="_Hlk24804592"/>
            <w:bookmarkStart w:id="1" w:name="_Hlk505620807"/>
            <w:r w:rsidRPr="00B3731E">
              <w:rPr>
                <w:noProof/>
              </w:rPr>
              <w:drawing>
                <wp:anchor distT="0" distB="0" distL="114300" distR="114300" simplePos="0" relativeHeight="251659264" behindDoc="0" locked="0" layoutInCell="1" allowOverlap="1" wp14:anchorId="7C7C4EFC" wp14:editId="47EF1CF9">
                  <wp:simplePos x="0" y="0"/>
                  <wp:positionH relativeFrom="column">
                    <wp:posOffset>-635</wp:posOffset>
                  </wp:positionH>
                  <wp:positionV relativeFrom="paragraph">
                    <wp:posOffset>300990</wp:posOffset>
                  </wp:positionV>
                  <wp:extent cx="431800" cy="42545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8"/>
                          <a:stretch>
                            <a:fillRect/>
                          </a:stretch>
                        </pic:blipFill>
                        <pic:spPr>
                          <a:xfrm>
                            <a:off x="0" y="0"/>
                            <a:ext cx="431800" cy="425450"/>
                          </a:xfrm>
                          <a:prstGeom prst="rect">
                            <a:avLst/>
                          </a:prstGeom>
                        </pic:spPr>
                      </pic:pic>
                    </a:graphicData>
                  </a:graphic>
                  <wp14:sizeRelH relativeFrom="page">
                    <wp14:pctWidth>0</wp14:pctWidth>
                  </wp14:sizeRelH>
                  <wp14:sizeRelV relativeFrom="page">
                    <wp14:pctHeight>0</wp14:pctHeight>
                  </wp14:sizeRelV>
                </wp:anchor>
              </w:drawing>
            </w:r>
          </w:p>
        </w:tc>
        <w:tc>
          <w:tcPr>
            <w:tcW w:w="6379" w:type="dxa"/>
            <w:gridSpan w:val="3"/>
            <w:shd w:val="clear" w:color="auto" w:fill="auto"/>
            <w:vAlign w:val="center"/>
          </w:tcPr>
          <w:p w14:paraId="226D3495" w14:textId="77777777" w:rsidR="00C37B1D" w:rsidRPr="00B3731E" w:rsidRDefault="00C37B1D" w:rsidP="007003D9">
            <w:pPr>
              <w:jc w:val="center"/>
              <w:rPr>
                <w:lang w:val="en-GB"/>
              </w:rPr>
            </w:pPr>
          </w:p>
        </w:tc>
      </w:tr>
      <w:tr w:rsidR="00C37B1D" w:rsidRPr="00B3731E" w14:paraId="3AE1632D" w14:textId="77777777" w:rsidTr="007003D9">
        <w:trPr>
          <w:trHeight w:hRule="exact" w:val="283"/>
        </w:trPr>
        <w:tc>
          <w:tcPr>
            <w:tcW w:w="709" w:type="dxa"/>
            <w:vMerge/>
            <w:shd w:val="clear" w:color="auto" w:fill="auto"/>
          </w:tcPr>
          <w:p w14:paraId="20E35EA0" w14:textId="77777777" w:rsidR="00C37B1D" w:rsidRPr="00B3731E" w:rsidRDefault="00C37B1D" w:rsidP="007003D9">
            <w:pPr>
              <w:jc w:val="center"/>
              <w:rPr>
                <w:lang w:val="en-GB"/>
              </w:rPr>
            </w:pPr>
          </w:p>
        </w:tc>
        <w:tc>
          <w:tcPr>
            <w:tcW w:w="6379" w:type="dxa"/>
            <w:gridSpan w:val="3"/>
            <w:tcBorders>
              <w:bottom w:val="single" w:sz="2" w:space="0" w:color="auto"/>
            </w:tcBorders>
            <w:shd w:val="clear" w:color="auto" w:fill="auto"/>
            <w:vAlign w:val="center"/>
          </w:tcPr>
          <w:p w14:paraId="4DB1D912" w14:textId="77777777" w:rsidR="00C37B1D" w:rsidRPr="00B3731E" w:rsidRDefault="00C37B1D" w:rsidP="007003D9">
            <w:pPr>
              <w:jc w:val="center"/>
              <w:rPr>
                <w:lang w:val="en-GB"/>
              </w:rPr>
            </w:pPr>
            <w:proofErr w:type="spellStart"/>
            <w:r w:rsidRPr="00B3731E">
              <w:rPr>
                <w:b/>
                <w:lang w:val="en-GB"/>
              </w:rPr>
              <w:t>Rocznik</w:t>
            </w:r>
            <w:proofErr w:type="spellEnd"/>
            <w:r w:rsidRPr="00B3731E">
              <w:rPr>
                <w:b/>
                <w:lang w:val="en-GB"/>
              </w:rPr>
              <w:t xml:space="preserve"> </w:t>
            </w:r>
            <w:proofErr w:type="spellStart"/>
            <w:r w:rsidRPr="00B3731E">
              <w:rPr>
                <w:b/>
                <w:lang w:val="en-GB"/>
              </w:rPr>
              <w:t>Ochrona</w:t>
            </w:r>
            <w:proofErr w:type="spellEnd"/>
            <w:r w:rsidRPr="00B3731E">
              <w:rPr>
                <w:b/>
                <w:lang w:val="en-GB"/>
              </w:rPr>
              <w:t xml:space="preserve"> </w:t>
            </w:r>
            <w:proofErr w:type="spellStart"/>
            <w:r w:rsidRPr="00B3731E">
              <w:rPr>
                <w:b/>
                <w:lang w:val="en-GB"/>
              </w:rPr>
              <w:t>Środowiska</w:t>
            </w:r>
            <w:proofErr w:type="spellEnd"/>
          </w:p>
        </w:tc>
      </w:tr>
      <w:tr w:rsidR="00C37B1D" w:rsidRPr="00B3731E" w14:paraId="6C510773" w14:textId="77777777" w:rsidTr="007003D9">
        <w:trPr>
          <w:trHeight w:hRule="exact" w:val="283"/>
        </w:trPr>
        <w:tc>
          <w:tcPr>
            <w:tcW w:w="709" w:type="dxa"/>
            <w:vMerge/>
            <w:shd w:val="clear" w:color="auto" w:fill="auto"/>
          </w:tcPr>
          <w:p w14:paraId="73A694CE" w14:textId="77777777" w:rsidR="00C37B1D" w:rsidRPr="00B3731E" w:rsidRDefault="00C37B1D" w:rsidP="007003D9">
            <w:pPr>
              <w:jc w:val="center"/>
              <w:rPr>
                <w:lang w:val="en-GB"/>
              </w:rPr>
            </w:pPr>
          </w:p>
        </w:tc>
        <w:tc>
          <w:tcPr>
            <w:tcW w:w="1351" w:type="dxa"/>
            <w:tcBorders>
              <w:top w:val="single" w:sz="2" w:space="0" w:color="auto"/>
              <w:bottom w:val="single" w:sz="2" w:space="0" w:color="auto"/>
            </w:tcBorders>
            <w:shd w:val="clear" w:color="auto" w:fill="auto"/>
            <w:vAlign w:val="center"/>
          </w:tcPr>
          <w:p w14:paraId="58A78C69" w14:textId="77777777" w:rsidR="00C37B1D" w:rsidRPr="00B3731E" w:rsidRDefault="00C37B1D" w:rsidP="007003D9">
            <w:pPr>
              <w:rPr>
                <w:sz w:val="18"/>
                <w:szCs w:val="18"/>
                <w:lang w:val="en-GB"/>
              </w:rPr>
            </w:pPr>
            <w:r w:rsidRPr="00B3731E">
              <w:rPr>
                <w:sz w:val="18"/>
                <w:szCs w:val="18"/>
                <w:lang w:val="en-GB"/>
              </w:rPr>
              <w:t>Volume 2</w:t>
            </w:r>
            <w:r>
              <w:rPr>
                <w:sz w:val="18"/>
                <w:szCs w:val="18"/>
                <w:lang w:val="en-GB"/>
              </w:rPr>
              <w:t>4</w:t>
            </w:r>
          </w:p>
        </w:tc>
        <w:tc>
          <w:tcPr>
            <w:tcW w:w="3469" w:type="dxa"/>
            <w:tcBorders>
              <w:top w:val="single" w:sz="2" w:space="0" w:color="auto"/>
              <w:bottom w:val="single" w:sz="2" w:space="0" w:color="auto"/>
            </w:tcBorders>
            <w:shd w:val="clear" w:color="auto" w:fill="auto"/>
            <w:vAlign w:val="center"/>
          </w:tcPr>
          <w:p w14:paraId="2EC26F70" w14:textId="51AE0796" w:rsidR="00C37B1D" w:rsidRPr="00B3731E" w:rsidRDefault="00C37B1D" w:rsidP="007003D9">
            <w:pPr>
              <w:tabs>
                <w:tab w:val="left" w:pos="2052"/>
              </w:tabs>
              <w:ind w:left="227"/>
              <w:rPr>
                <w:sz w:val="18"/>
                <w:szCs w:val="18"/>
                <w:lang w:val="en-GB"/>
              </w:rPr>
            </w:pPr>
            <w:r w:rsidRPr="00B3731E">
              <w:rPr>
                <w:sz w:val="18"/>
                <w:szCs w:val="18"/>
                <w:lang w:val="en-GB"/>
              </w:rPr>
              <w:t>Year 202</w:t>
            </w:r>
            <w:r>
              <w:rPr>
                <w:sz w:val="18"/>
                <w:szCs w:val="18"/>
                <w:lang w:val="en-GB"/>
              </w:rPr>
              <w:t>2</w:t>
            </w:r>
            <w:r w:rsidRPr="00B3731E">
              <w:rPr>
                <w:sz w:val="18"/>
                <w:szCs w:val="18"/>
                <w:lang w:val="en-GB"/>
              </w:rPr>
              <w:tab/>
              <w:t xml:space="preserve">ISSN </w:t>
            </w:r>
            <w:r w:rsidR="00F500CF" w:rsidRPr="00F500CF">
              <w:rPr>
                <w:sz w:val="18"/>
                <w:szCs w:val="18"/>
                <w:lang w:val="en-GB"/>
              </w:rPr>
              <w:t>2720-7501</w:t>
            </w:r>
          </w:p>
        </w:tc>
        <w:tc>
          <w:tcPr>
            <w:tcW w:w="1559" w:type="dxa"/>
            <w:tcBorders>
              <w:top w:val="single" w:sz="2" w:space="0" w:color="auto"/>
              <w:bottom w:val="single" w:sz="2" w:space="0" w:color="auto"/>
            </w:tcBorders>
            <w:shd w:val="clear" w:color="auto" w:fill="auto"/>
            <w:vAlign w:val="center"/>
          </w:tcPr>
          <w:p w14:paraId="7439E69D" w14:textId="40AC063D" w:rsidR="00C37B1D" w:rsidRPr="00B3731E" w:rsidRDefault="00C37B1D" w:rsidP="007003D9">
            <w:pPr>
              <w:jc w:val="right"/>
              <w:rPr>
                <w:sz w:val="18"/>
                <w:szCs w:val="18"/>
                <w:lang w:val="en-GB"/>
              </w:rPr>
            </w:pPr>
            <w:r w:rsidRPr="00B3731E">
              <w:rPr>
                <w:sz w:val="18"/>
                <w:szCs w:val="18"/>
                <w:lang w:val="en-GB"/>
              </w:rPr>
              <w:t xml:space="preserve">pp. </w:t>
            </w:r>
            <w:r w:rsidR="00AB79FA">
              <w:rPr>
                <w:sz w:val="18"/>
                <w:szCs w:val="18"/>
                <w:lang w:val="en-GB"/>
              </w:rPr>
              <w:t>15</w:t>
            </w:r>
            <w:r w:rsidRPr="00B3731E">
              <w:rPr>
                <w:sz w:val="18"/>
                <w:szCs w:val="18"/>
                <w:lang w:val="en-GB"/>
              </w:rPr>
              <w:t>-</w:t>
            </w:r>
            <w:r w:rsidR="00AB79FA">
              <w:rPr>
                <w:sz w:val="18"/>
                <w:szCs w:val="18"/>
                <w:lang w:val="en-GB"/>
              </w:rPr>
              <w:t>25</w:t>
            </w:r>
          </w:p>
        </w:tc>
      </w:tr>
      <w:tr w:rsidR="00C37B1D" w:rsidRPr="00B3731E" w14:paraId="3910F252" w14:textId="77777777" w:rsidTr="007003D9">
        <w:trPr>
          <w:trHeight w:hRule="exact" w:val="283"/>
        </w:trPr>
        <w:tc>
          <w:tcPr>
            <w:tcW w:w="709" w:type="dxa"/>
            <w:shd w:val="clear" w:color="auto" w:fill="auto"/>
          </w:tcPr>
          <w:p w14:paraId="7B97AEB3" w14:textId="77777777" w:rsidR="00C37B1D" w:rsidRPr="00B3731E" w:rsidRDefault="00C37B1D" w:rsidP="007003D9">
            <w:pPr>
              <w:jc w:val="center"/>
              <w:rPr>
                <w:lang w:val="en-GB"/>
              </w:rPr>
            </w:pPr>
          </w:p>
        </w:tc>
        <w:tc>
          <w:tcPr>
            <w:tcW w:w="6379" w:type="dxa"/>
            <w:gridSpan w:val="3"/>
            <w:tcBorders>
              <w:top w:val="single" w:sz="2" w:space="0" w:color="auto"/>
              <w:bottom w:val="single" w:sz="2" w:space="0" w:color="auto"/>
            </w:tcBorders>
            <w:shd w:val="clear" w:color="auto" w:fill="auto"/>
            <w:vAlign w:val="center"/>
          </w:tcPr>
          <w:p w14:paraId="051606D6" w14:textId="55B0250F" w:rsidR="00C37B1D" w:rsidRPr="00B3731E" w:rsidRDefault="00C37B1D" w:rsidP="007003D9">
            <w:pPr>
              <w:tabs>
                <w:tab w:val="right" w:pos="6371"/>
              </w:tabs>
              <w:rPr>
                <w:sz w:val="18"/>
                <w:szCs w:val="18"/>
                <w:lang w:val="en-GB"/>
              </w:rPr>
            </w:pPr>
            <w:r w:rsidRPr="00B3731E">
              <w:rPr>
                <w:sz w:val="18"/>
                <w:szCs w:val="18"/>
                <w:lang w:val="en-GB"/>
              </w:rPr>
              <w:t>https://doi.org/10.54740/ros.202</w:t>
            </w:r>
            <w:r w:rsidR="002D5C3C">
              <w:rPr>
                <w:sz w:val="18"/>
                <w:szCs w:val="18"/>
                <w:lang w:val="en-GB"/>
              </w:rPr>
              <w:t>2</w:t>
            </w:r>
            <w:r w:rsidRPr="00B3731E">
              <w:rPr>
                <w:sz w:val="18"/>
                <w:szCs w:val="18"/>
                <w:lang w:val="en-GB"/>
              </w:rPr>
              <w:t>.00</w:t>
            </w:r>
            <w:r w:rsidR="002D5C3C">
              <w:rPr>
                <w:sz w:val="18"/>
                <w:szCs w:val="18"/>
                <w:lang w:val="en-GB"/>
              </w:rPr>
              <w:t>2</w:t>
            </w:r>
            <w:r w:rsidRPr="00B3731E">
              <w:rPr>
                <w:sz w:val="18"/>
                <w:szCs w:val="18"/>
                <w:lang w:val="en-GB"/>
              </w:rPr>
              <w:tab/>
              <w:t>open access</w:t>
            </w:r>
          </w:p>
        </w:tc>
      </w:tr>
      <w:tr w:rsidR="00C37B1D" w:rsidRPr="00B3731E" w14:paraId="2119F943" w14:textId="77777777" w:rsidTr="007003D9">
        <w:trPr>
          <w:trHeight w:hRule="exact" w:val="283"/>
        </w:trPr>
        <w:tc>
          <w:tcPr>
            <w:tcW w:w="709" w:type="dxa"/>
            <w:shd w:val="clear" w:color="auto" w:fill="auto"/>
          </w:tcPr>
          <w:p w14:paraId="5A2CFE91" w14:textId="77777777" w:rsidR="00C37B1D" w:rsidRPr="00B3731E" w:rsidRDefault="00C37B1D" w:rsidP="007003D9">
            <w:pPr>
              <w:jc w:val="center"/>
              <w:rPr>
                <w:lang w:val="en-GB"/>
              </w:rPr>
            </w:pPr>
          </w:p>
        </w:tc>
        <w:tc>
          <w:tcPr>
            <w:tcW w:w="6379" w:type="dxa"/>
            <w:gridSpan w:val="3"/>
            <w:tcBorders>
              <w:top w:val="single" w:sz="2" w:space="0" w:color="auto"/>
            </w:tcBorders>
            <w:shd w:val="clear" w:color="auto" w:fill="auto"/>
            <w:vAlign w:val="center"/>
          </w:tcPr>
          <w:p w14:paraId="0B2EE528" w14:textId="24D19099" w:rsidR="00C37B1D" w:rsidRPr="00B3731E" w:rsidRDefault="00C37B1D" w:rsidP="00350AC3">
            <w:pPr>
              <w:tabs>
                <w:tab w:val="left" w:pos="2150"/>
                <w:tab w:val="right" w:pos="6371"/>
              </w:tabs>
              <w:rPr>
                <w:sz w:val="18"/>
                <w:szCs w:val="18"/>
                <w:lang w:val="en-GB"/>
              </w:rPr>
            </w:pPr>
            <w:r w:rsidRPr="00B3731E">
              <w:rPr>
                <w:sz w:val="18"/>
                <w:szCs w:val="18"/>
                <w:lang w:val="en-GB"/>
              </w:rPr>
              <w:t xml:space="preserve">Received: </w:t>
            </w:r>
            <w:r w:rsidR="00A50BBE">
              <w:rPr>
                <w:sz w:val="18"/>
                <w:szCs w:val="18"/>
                <w:lang w:val="en-GB"/>
              </w:rPr>
              <w:t>04</w:t>
            </w:r>
            <w:r w:rsidRPr="00B3731E">
              <w:rPr>
                <w:sz w:val="18"/>
                <w:szCs w:val="18"/>
                <w:lang w:val="en-GB"/>
              </w:rPr>
              <w:t xml:space="preserve"> </w:t>
            </w:r>
            <w:r w:rsidR="00A50BBE">
              <w:rPr>
                <w:sz w:val="18"/>
                <w:szCs w:val="18"/>
                <w:lang w:val="en-GB"/>
              </w:rPr>
              <w:t>March</w:t>
            </w:r>
            <w:r w:rsidRPr="00B3731E">
              <w:rPr>
                <w:sz w:val="18"/>
                <w:szCs w:val="18"/>
                <w:lang w:val="en-GB"/>
              </w:rPr>
              <w:t xml:space="preserve"> 202</w:t>
            </w:r>
            <w:r>
              <w:rPr>
                <w:sz w:val="18"/>
                <w:szCs w:val="18"/>
                <w:lang w:val="en-GB"/>
              </w:rPr>
              <w:t>2</w:t>
            </w:r>
            <w:r w:rsidRPr="00B3731E">
              <w:rPr>
                <w:sz w:val="18"/>
                <w:szCs w:val="18"/>
                <w:lang w:val="en-GB"/>
              </w:rPr>
              <w:tab/>
              <w:t xml:space="preserve">Accepted: </w:t>
            </w:r>
            <w:r w:rsidR="00EF1A10">
              <w:rPr>
                <w:sz w:val="18"/>
                <w:szCs w:val="18"/>
                <w:lang w:val="en-GB"/>
              </w:rPr>
              <w:t>16</w:t>
            </w:r>
            <w:r w:rsidRPr="00B3731E">
              <w:rPr>
                <w:sz w:val="18"/>
                <w:szCs w:val="18"/>
                <w:lang w:val="en-GB"/>
              </w:rPr>
              <w:t xml:space="preserve"> Ma</w:t>
            </w:r>
            <w:r w:rsidR="00EF1A10">
              <w:rPr>
                <w:sz w:val="18"/>
                <w:szCs w:val="18"/>
                <w:lang w:val="en-GB"/>
              </w:rPr>
              <w:t>y</w:t>
            </w:r>
            <w:r w:rsidRPr="00B3731E">
              <w:rPr>
                <w:sz w:val="18"/>
                <w:szCs w:val="18"/>
                <w:lang w:val="en-GB"/>
              </w:rPr>
              <w:t xml:space="preserve"> 202</w:t>
            </w:r>
            <w:r>
              <w:rPr>
                <w:sz w:val="18"/>
                <w:szCs w:val="18"/>
                <w:lang w:val="en-GB"/>
              </w:rPr>
              <w:t>2</w:t>
            </w:r>
            <w:r w:rsidRPr="00B3731E">
              <w:rPr>
                <w:sz w:val="18"/>
                <w:szCs w:val="18"/>
                <w:lang w:val="en-GB"/>
              </w:rPr>
              <w:tab/>
            </w:r>
            <w:r w:rsidRPr="00A50BBE">
              <w:rPr>
                <w:sz w:val="18"/>
                <w:szCs w:val="18"/>
                <w:lang w:val="en-GB"/>
              </w:rPr>
              <w:t>Published</w:t>
            </w:r>
            <w:r w:rsidRPr="00B3731E">
              <w:rPr>
                <w:sz w:val="18"/>
                <w:szCs w:val="18"/>
              </w:rPr>
              <w:t xml:space="preserve">: </w:t>
            </w:r>
            <w:r w:rsidR="002F0B74">
              <w:rPr>
                <w:sz w:val="18"/>
                <w:szCs w:val="18"/>
              </w:rPr>
              <w:t>14</w:t>
            </w:r>
            <w:r w:rsidR="000A2E12">
              <w:rPr>
                <w:sz w:val="18"/>
                <w:szCs w:val="18"/>
              </w:rPr>
              <w:t xml:space="preserve"> </w:t>
            </w:r>
            <w:proofErr w:type="spellStart"/>
            <w:r w:rsidR="000A2E12">
              <w:rPr>
                <w:sz w:val="18"/>
                <w:szCs w:val="18"/>
              </w:rPr>
              <w:t>November</w:t>
            </w:r>
            <w:proofErr w:type="spellEnd"/>
            <w:r w:rsidR="000A2E12">
              <w:rPr>
                <w:sz w:val="18"/>
                <w:szCs w:val="18"/>
              </w:rPr>
              <w:t xml:space="preserve"> </w:t>
            </w:r>
            <w:r w:rsidRPr="00B3731E">
              <w:rPr>
                <w:sz w:val="18"/>
                <w:szCs w:val="18"/>
              </w:rPr>
              <w:t>202</w:t>
            </w:r>
            <w:r>
              <w:rPr>
                <w:sz w:val="18"/>
                <w:szCs w:val="18"/>
              </w:rPr>
              <w:t>2</w:t>
            </w:r>
          </w:p>
        </w:tc>
      </w:tr>
    </w:tbl>
    <w:bookmarkEnd w:id="0"/>
    <w:p w14:paraId="51F1AE40" w14:textId="46041B61" w:rsidR="001D41EC" w:rsidRDefault="004657B6" w:rsidP="00C37B1D">
      <w:pPr>
        <w:pStyle w:val="Rtytu"/>
        <w:rPr>
          <w:lang w:val="en-GB"/>
        </w:rPr>
      </w:pPr>
      <w:r>
        <w:rPr>
          <w:lang w:val="en-GB"/>
        </w:rPr>
        <w:t>Liquefied Natural Gas – The Future Fuel for Shipping or Cul-de-sac</w:t>
      </w:r>
      <w:r w:rsidR="001D41EC">
        <w:rPr>
          <w:lang w:val="en-GB"/>
        </w:rPr>
        <w:t xml:space="preserve"> </w:t>
      </w:r>
    </w:p>
    <w:p w14:paraId="6011EE0C" w14:textId="0558B476" w:rsidR="001D41EC" w:rsidRPr="0091127B" w:rsidRDefault="001D41EC" w:rsidP="00C37B1D">
      <w:pPr>
        <w:pStyle w:val="Rautor"/>
        <w:rPr>
          <w:lang w:val="en-US"/>
        </w:rPr>
      </w:pPr>
      <w:r w:rsidRPr="0091127B">
        <w:rPr>
          <w:lang w:val="en-US"/>
        </w:rPr>
        <w:t xml:space="preserve">Jerzy </w:t>
      </w:r>
      <w:proofErr w:type="spellStart"/>
      <w:r w:rsidRPr="0091127B">
        <w:rPr>
          <w:lang w:val="en-US"/>
        </w:rPr>
        <w:t>Herdzik</w:t>
      </w:r>
      <w:proofErr w:type="spellEnd"/>
    </w:p>
    <w:p w14:paraId="2AF892ED" w14:textId="7CC376FC" w:rsidR="00522C93" w:rsidRPr="0091127B" w:rsidRDefault="001D41EC" w:rsidP="00C37B1D">
      <w:pPr>
        <w:pStyle w:val="Rafiliacja"/>
        <w:rPr>
          <w:iCs/>
          <w:lang w:val="en-US"/>
        </w:rPr>
      </w:pPr>
      <w:r w:rsidRPr="0091127B">
        <w:rPr>
          <w:iCs/>
          <w:lang w:val="en-US"/>
        </w:rPr>
        <w:t>Gdynia Maritime University</w:t>
      </w:r>
      <w:bookmarkStart w:id="2" w:name="_Hlk103340101"/>
      <w:r w:rsidR="005C088A">
        <w:rPr>
          <w:iCs/>
          <w:lang w:val="en-US"/>
        </w:rPr>
        <w:t>, Poland</w:t>
      </w:r>
      <w:r w:rsidR="00C37B1D">
        <w:rPr>
          <w:iCs/>
          <w:lang w:val="en-US"/>
        </w:rPr>
        <w:br/>
      </w:r>
      <w:r w:rsidR="00C37B1D" w:rsidRPr="00AD2587">
        <w:rPr>
          <w:lang w:val="en-US"/>
        </w:rPr>
        <w:t>https://orcid.org/</w:t>
      </w:r>
      <w:bookmarkEnd w:id="2"/>
      <w:r w:rsidR="00522C93" w:rsidRPr="00522C93">
        <w:rPr>
          <w:lang w:val="en-US"/>
        </w:rPr>
        <w:t>0000-0002-2339-807X</w:t>
      </w:r>
    </w:p>
    <w:p w14:paraId="0751B341" w14:textId="2F4F91A0" w:rsidR="009C4AAA" w:rsidRPr="00522C93" w:rsidRDefault="000A208B" w:rsidP="00C37B1D">
      <w:pPr>
        <w:pStyle w:val="Rauco"/>
      </w:pPr>
      <w:r>
        <w:t>c</w:t>
      </w:r>
      <w:r w:rsidRPr="001C2EFC">
        <w:t xml:space="preserve">orresponding author’s e-mail: </w:t>
      </w:r>
      <w:r w:rsidR="009C4AAA" w:rsidRPr="00522C93">
        <w:t>j.herdzik@wm.umg.edu.pl</w:t>
      </w:r>
    </w:p>
    <w:bookmarkEnd w:id="1"/>
    <w:p w14:paraId="362D7B33" w14:textId="59CB4796" w:rsidR="00C37B1D" w:rsidRPr="00443642" w:rsidRDefault="00C37B1D" w:rsidP="004145CB">
      <w:pPr>
        <w:pStyle w:val="Rab1"/>
        <w:rPr>
          <w:szCs w:val="18"/>
          <w:lang w:eastAsia="en-US"/>
        </w:rPr>
      </w:pPr>
      <w:r w:rsidRPr="00443642">
        <w:rPr>
          <w:b/>
          <w:szCs w:val="18"/>
        </w:rPr>
        <w:t xml:space="preserve">Abstract: </w:t>
      </w:r>
      <w:r w:rsidRPr="00443642">
        <w:rPr>
          <w:szCs w:val="18"/>
          <w:lang w:eastAsia="en-US"/>
        </w:rPr>
        <w:t>The paper analy</w:t>
      </w:r>
      <w:r w:rsidR="00A90EDD">
        <w:rPr>
          <w:szCs w:val="18"/>
          <w:lang w:eastAsia="en-US"/>
        </w:rPr>
        <w:t>s</w:t>
      </w:r>
      <w:r w:rsidRPr="00443642">
        <w:rPr>
          <w:szCs w:val="18"/>
          <w:lang w:eastAsia="en-US"/>
        </w:rPr>
        <w:t>es the reasons for the interest in natural gas as a</w:t>
      </w:r>
      <w:r w:rsidR="004145CB" w:rsidRPr="00443642">
        <w:rPr>
          <w:szCs w:val="18"/>
          <w:lang w:eastAsia="en-US"/>
        </w:rPr>
        <w:t> </w:t>
      </w:r>
      <w:r w:rsidRPr="00443642">
        <w:rPr>
          <w:szCs w:val="18"/>
          <w:lang w:eastAsia="en-US"/>
        </w:rPr>
        <w:t>potential marine fuel to replace the existing fuels derived from crude oil. The</w:t>
      </w:r>
      <w:r w:rsidR="004145CB" w:rsidRPr="00443642">
        <w:rPr>
          <w:szCs w:val="18"/>
          <w:lang w:eastAsia="en-US"/>
        </w:rPr>
        <w:t> </w:t>
      </w:r>
      <w:r w:rsidRPr="00443642">
        <w:rPr>
          <w:szCs w:val="18"/>
          <w:lang w:eastAsia="en-US"/>
        </w:rPr>
        <w:t xml:space="preserve">increase </w:t>
      </w:r>
      <w:r w:rsidR="00A90EDD">
        <w:rPr>
          <w:szCs w:val="18"/>
          <w:lang w:eastAsia="en-US"/>
        </w:rPr>
        <w:t>in</w:t>
      </w:r>
      <w:r w:rsidRPr="00443642">
        <w:rPr>
          <w:szCs w:val="18"/>
          <w:lang w:eastAsia="en-US"/>
        </w:rPr>
        <w:t xml:space="preserve"> environmental awareness and the effects of human activity caused the process of searching for more environmental</w:t>
      </w:r>
      <w:r w:rsidR="00A90EDD">
        <w:rPr>
          <w:szCs w:val="18"/>
          <w:lang w:eastAsia="en-US"/>
        </w:rPr>
        <w:t>ly</w:t>
      </w:r>
      <w:r w:rsidRPr="00443642">
        <w:rPr>
          <w:szCs w:val="18"/>
          <w:lang w:eastAsia="en-US"/>
        </w:rPr>
        <w:t xml:space="preserve"> friendly fuels. Naturally, interest has been shifted to a well-known energy source commonly found on Earth in quantities much </w:t>
      </w:r>
      <w:r w:rsidR="00A90EDD">
        <w:rPr>
          <w:szCs w:val="18"/>
          <w:lang w:eastAsia="en-US"/>
        </w:rPr>
        <w:t>more considerable</w:t>
      </w:r>
      <w:r w:rsidRPr="00443642">
        <w:rPr>
          <w:szCs w:val="18"/>
          <w:lang w:eastAsia="en-US"/>
        </w:rPr>
        <w:t xml:space="preserve"> than crude oil. This fuel</w:t>
      </w:r>
      <w:r w:rsidR="00A90EDD">
        <w:rPr>
          <w:szCs w:val="18"/>
          <w:lang w:eastAsia="en-US"/>
        </w:rPr>
        <w:t>,</w:t>
      </w:r>
      <w:r w:rsidRPr="00443642">
        <w:rPr>
          <w:szCs w:val="18"/>
          <w:lang w:eastAsia="en-US"/>
        </w:rPr>
        <w:t xml:space="preserve"> in the form of liquefied natural gas</w:t>
      </w:r>
      <w:r w:rsidR="00A90EDD">
        <w:rPr>
          <w:szCs w:val="18"/>
          <w:lang w:eastAsia="en-US"/>
        </w:rPr>
        <w:t>,</w:t>
      </w:r>
      <w:r w:rsidRPr="00443642">
        <w:rPr>
          <w:szCs w:val="18"/>
          <w:lang w:eastAsia="en-US"/>
        </w:rPr>
        <w:t xml:space="preserve"> seems to be an attractive substitute for the currently dominant types of marine fuels. The technologies of its extraction, liquefaction, storage and transport were mastered</w:t>
      </w:r>
      <w:r w:rsidR="00A90EDD">
        <w:rPr>
          <w:szCs w:val="18"/>
          <w:lang w:eastAsia="en-US"/>
        </w:rPr>
        <w:t>,</w:t>
      </w:r>
      <w:r w:rsidRPr="00443642">
        <w:rPr>
          <w:szCs w:val="18"/>
          <w:lang w:eastAsia="en-US"/>
        </w:rPr>
        <w:t xml:space="preserve"> and marine engines were adopted </w:t>
      </w:r>
      <w:r w:rsidR="00A90EDD">
        <w:rPr>
          <w:szCs w:val="18"/>
          <w:lang w:eastAsia="en-US"/>
        </w:rPr>
        <w:t>for</w:t>
      </w:r>
      <w:r w:rsidRPr="00443642">
        <w:rPr>
          <w:szCs w:val="18"/>
          <w:lang w:eastAsia="en-US"/>
        </w:rPr>
        <w:t xml:space="preserve"> its combustion as dual-fuel engines.</w:t>
      </w:r>
      <w:r w:rsidR="004145CB" w:rsidRPr="00443642">
        <w:rPr>
          <w:szCs w:val="18"/>
          <w:lang w:eastAsia="en-US"/>
        </w:rPr>
        <w:t xml:space="preserve"> </w:t>
      </w:r>
      <w:r w:rsidRPr="00443642">
        <w:rPr>
          <w:szCs w:val="18"/>
          <w:lang w:eastAsia="en-US"/>
        </w:rPr>
        <w:t xml:space="preserve">The regulations introduced by the International Maritime Organization and the European Parliament, forcing the reduction of emissions </w:t>
      </w:r>
      <w:r w:rsidR="00A90EDD">
        <w:rPr>
          <w:szCs w:val="18"/>
          <w:lang w:eastAsia="en-US"/>
        </w:rPr>
        <w:t xml:space="preserve">of </w:t>
      </w:r>
      <w:r w:rsidRPr="00443642">
        <w:rPr>
          <w:szCs w:val="18"/>
          <w:lang w:eastAsia="en-US"/>
        </w:rPr>
        <w:t xml:space="preserve">harmful substances into the atmosphere from the combustion of marine fuels, require taking action to meet them. The proposals </w:t>
      </w:r>
      <w:r w:rsidR="00A90EDD">
        <w:rPr>
          <w:szCs w:val="18"/>
          <w:lang w:eastAsia="en-US"/>
        </w:rPr>
        <w:t>for</w:t>
      </w:r>
      <w:r w:rsidRPr="00443642">
        <w:rPr>
          <w:szCs w:val="18"/>
          <w:lang w:eastAsia="en-US"/>
        </w:rPr>
        <w:t xml:space="preserve"> individual next 30 years are given.</w:t>
      </w:r>
      <w:r w:rsidR="004145CB" w:rsidRPr="00443642">
        <w:rPr>
          <w:szCs w:val="18"/>
          <w:lang w:eastAsia="en-US"/>
        </w:rPr>
        <w:t xml:space="preserve"> </w:t>
      </w:r>
      <w:r w:rsidRPr="00443642">
        <w:rPr>
          <w:szCs w:val="18"/>
          <w:lang w:eastAsia="en-US"/>
        </w:rPr>
        <w:t xml:space="preserve">Due to </w:t>
      </w:r>
      <w:r w:rsidR="00A90EDD">
        <w:rPr>
          <w:szCs w:val="18"/>
          <w:lang w:eastAsia="en-US"/>
        </w:rPr>
        <w:t>the introduction of regulations to reduce carbon dioxide emissions, it is necessary to switch to fuels with a lower or zero carbon content or biofuels recognised as more environmentally</w:t>
      </w:r>
      <w:r w:rsidRPr="00443642">
        <w:rPr>
          <w:szCs w:val="18"/>
          <w:lang w:eastAsia="en-US"/>
        </w:rPr>
        <w:t xml:space="preserve"> friendly. Due to only 25% lower carbon content in methane with its higher lower heating value, it is possible to reduce the direct emission from this gas by about 30%. However, </w:t>
      </w:r>
      <w:r w:rsidR="00A90EDD">
        <w:rPr>
          <w:szCs w:val="18"/>
          <w:lang w:eastAsia="en-US"/>
        </w:rPr>
        <w:t>methane leaks occur in the processes from natural gas extraction to the energy effect in engines as a fuel</w:t>
      </w:r>
      <w:r w:rsidRPr="00443642">
        <w:rPr>
          <w:szCs w:val="18"/>
          <w:lang w:eastAsia="en-US"/>
        </w:rPr>
        <w:t>, significantly worsening its image as an ecological fuel. Researches indicate that with current technologies, natural gas should not be recogni</w:t>
      </w:r>
      <w:r w:rsidR="00A90EDD">
        <w:rPr>
          <w:szCs w:val="18"/>
          <w:lang w:eastAsia="en-US"/>
        </w:rPr>
        <w:t>s</w:t>
      </w:r>
      <w:r w:rsidRPr="00443642">
        <w:rPr>
          <w:szCs w:val="18"/>
          <w:lang w:eastAsia="en-US"/>
        </w:rPr>
        <w:t>ed as an ecological fuel until gas leaks are significantly reduced.</w:t>
      </w:r>
      <w:r w:rsidR="004145CB" w:rsidRPr="00443642">
        <w:rPr>
          <w:szCs w:val="18"/>
          <w:lang w:eastAsia="en-US"/>
        </w:rPr>
        <w:t xml:space="preserve"> </w:t>
      </w:r>
      <w:r w:rsidRPr="00443642">
        <w:rPr>
          <w:szCs w:val="18"/>
          <w:lang w:eastAsia="en-US"/>
        </w:rPr>
        <w:t>The article justifies why LNG should be considered a</w:t>
      </w:r>
      <w:r w:rsidR="00A90EDD">
        <w:rPr>
          <w:szCs w:val="18"/>
          <w:lang w:eastAsia="en-US"/>
        </w:rPr>
        <w:t xml:space="preserve"> transient marine fuel, with the need to switch to other synthetic fuels, ammonia, and</w:t>
      </w:r>
      <w:r w:rsidRPr="00443642">
        <w:rPr>
          <w:szCs w:val="18"/>
          <w:lang w:eastAsia="en-US"/>
        </w:rPr>
        <w:t xml:space="preserve"> hydrogen.</w:t>
      </w:r>
    </w:p>
    <w:p w14:paraId="3E9AFB92" w14:textId="1814A717" w:rsidR="00C37B1D" w:rsidRDefault="00C37B1D" w:rsidP="00443642">
      <w:pPr>
        <w:pStyle w:val="Rab2"/>
      </w:pPr>
      <w:r w:rsidRPr="00C72104">
        <w:rPr>
          <w:b/>
        </w:rPr>
        <w:t>Keywords:</w:t>
      </w:r>
      <w:r w:rsidRPr="00C72104">
        <w:t xml:space="preserve"> </w:t>
      </w:r>
      <w:r>
        <w:t xml:space="preserve">fuel for shipping; liquefied natural gas; marine fuel of the future; </w:t>
      </w:r>
      <w:r w:rsidR="00443642">
        <w:br/>
      </w:r>
      <w:r>
        <w:t>fuel leakage; green-house effect; atmosphere contamination</w:t>
      </w:r>
    </w:p>
    <w:p w14:paraId="02A82E72" w14:textId="4F15EAF6" w:rsidR="001D41EC" w:rsidRDefault="001D41EC" w:rsidP="004145CB">
      <w:pPr>
        <w:pStyle w:val="Rn1"/>
        <w:rPr>
          <w:lang w:val="en-US"/>
        </w:rPr>
      </w:pPr>
      <w:r>
        <w:rPr>
          <w:lang w:val="en-US"/>
        </w:rPr>
        <w:t>1. Introduction</w:t>
      </w:r>
    </w:p>
    <w:p w14:paraId="6BC9FD77" w14:textId="2DE793C0" w:rsidR="00BE5822" w:rsidRDefault="00A00856" w:rsidP="004145CB">
      <w:pPr>
        <w:pStyle w:val="Tekst"/>
        <w:ind w:firstLine="0"/>
        <w:rPr>
          <w:sz w:val="22"/>
          <w:szCs w:val="22"/>
          <w:lang w:val="en-US"/>
        </w:rPr>
      </w:pPr>
      <w:r>
        <w:rPr>
          <w:sz w:val="22"/>
          <w:szCs w:val="22"/>
          <w:lang w:val="en-US"/>
        </w:rPr>
        <w:t xml:space="preserve">Liquefied Natural Gas (LNG) consist mainly </w:t>
      </w:r>
      <w:r w:rsidR="00A90EDD">
        <w:rPr>
          <w:sz w:val="22"/>
          <w:szCs w:val="22"/>
          <w:lang w:val="en-US"/>
        </w:rPr>
        <w:t xml:space="preserve">of </w:t>
      </w:r>
      <w:r>
        <w:rPr>
          <w:sz w:val="22"/>
          <w:szCs w:val="22"/>
          <w:lang w:val="en-US"/>
        </w:rPr>
        <w:t>methane (87-97%) and other higher hydrocarbons</w:t>
      </w:r>
      <w:r w:rsidR="00A90EDD">
        <w:rPr>
          <w:sz w:val="22"/>
          <w:szCs w:val="22"/>
          <w:lang w:val="en-US"/>
        </w:rPr>
        <w:t>. T</w:t>
      </w:r>
      <w:r>
        <w:rPr>
          <w:sz w:val="22"/>
          <w:szCs w:val="22"/>
          <w:lang w:val="en-US"/>
        </w:rPr>
        <w:t>he concentration of n</w:t>
      </w:r>
      <w:r w:rsidR="00522459">
        <w:rPr>
          <w:sz w:val="22"/>
          <w:szCs w:val="22"/>
          <w:lang w:val="en-US"/>
        </w:rPr>
        <w:t>on-condensing gases</w:t>
      </w:r>
      <w:r>
        <w:rPr>
          <w:sz w:val="22"/>
          <w:szCs w:val="22"/>
          <w:lang w:val="en-US"/>
        </w:rPr>
        <w:t xml:space="preserve"> is limited (</w:t>
      </w:r>
      <w:r w:rsidR="007A5DA2">
        <w:rPr>
          <w:sz w:val="22"/>
          <w:szCs w:val="22"/>
          <w:lang w:val="en-US"/>
        </w:rPr>
        <w:t xml:space="preserve">mainly </w:t>
      </w:r>
      <w:r>
        <w:rPr>
          <w:sz w:val="22"/>
          <w:szCs w:val="22"/>
          <w:lang w:val="en-US"/>
        </w:rPr>
        <w:t>nitrogen)</w:t>
      </w:r>
      <w:r w:rsidR="00522459">
        <w:rPr>
          <w:sz w:val="22"/>
          <w:szCs w:val="22"/>
          <w:lang w:val="en-US"/>
        </w:rPr>
        <w:t xml:space="preserve"> due to the problem of increasing </w:t>
      </w:r>
      <w:r w:rsidR="00060384">
        <w:rPr>
          <w:sz w:val="22"/>
          <w:szCs w:val="22"/>
          <w:lang w:val="en-US"/>
        </w:rPr>
        <w:t xml:space="preserve">the compression </w:t>
      </w:r>
      <w:r w:rsidR="00522459">
        <w:rPr>
          <w:sz w:val="22"/>
          <w:szCs w:val="22"/>
          <w:lang w:val="en-US"/>
        </w:rPr>
        <w:t xml:space="preserve">pressure during re-liquefaction processes </w:t>
      </w:r>
      <w:r w:rsidR="008B762D" w:rsidRPr="00443642">
        <w:rPr>
          <w:sz w:val="22"/>
          <w:szCs w:val="22"/>
          <w:lang w:val="en-US"/>
        </w:rPr>
        <w:t>(</w:t>
      </w:r>
      <w:r w:rsidR="00D931C8" w:rsidRPr="00443642">
        <w:rPr>
          <w:sz w:val="22"/>
          <w:szCs w:val="22"/>
          <w:lang w:val="en-US"/>
        </w:rPr>
        <w:t>SIGGTO 2016</w:t>
      </w:r>
      <w:r w:rsidR="00C75AC6" w:rsidRPr="00443642">
        <w:rPr>
          <w:sz w:val="22"/>
          <w:szCs w:val="22"/>
          <w:lang w:val="en-US"/>
        </w:rPr>
        <w:t>, Liquefied Natural Gas</w:t>
      </w:r>
      <w:r w:rsidR="008B762D" w:rsidRPr="00443642">
        <w:rPr>
          <w:sz w:val="22"/>
          <w:szCs w:val="22"/>
          <w:lang w:val="en-US"/>
        </w:rPr>
        <w:t>)</w:t>
      </w:r>
      <w:r w:rsidRPr="00443642">
        <w:rPr>
          <w:sz w:val="22"/>
          <w:szCs w:val="22"/>
          <w:lang w:val="en-US"/>
        </w:rPr>
        <w:t>.</w:t>
      </w:r>
    </w:p>
    <w:p w14:paraId="699AD4A6" w14:textId="6BB747BB" w:rsidR="002E3273" w:rsidRPr="00443642" w:rsidRDefault="00522459" w:rsidP="00AB79FA">
      <w:pPr>
        <w:pStyle w:val="Tekst"/>
        <w:ind w:firstLine="357"/>
        <w:rPr>
          <w:sz w:val="22"/>
          <w:szCs w:val="22"/>
          <w:lang w:val="en-US"/>
        </w:rPr>
      </w:pPr>
      <w:r w:rsidRPr="00443642">
        <w:rPr>
          <w:sz w:val="22"/>
          <w:szCs w:val="22"/>
          <w:lang w:val="en-US"/>
        </w:rPr>
        <w:t>Natural gas reserves are much larger than other fossi</w:t>
      </w:r>
      <w:r w:rsidR="002910F2" w:rsidRPr="00443642">
        <w:rPr>
          <w:sz w:val="22"/>
          <w:szCs w:val="22"/>
          <w:lang w:val="en-US"/>
        </w:rPr>
        <w:t>l fuels</w:t>
      </w:r>
      <w:r w:rsidR="00BE5822" w:rsidRPr="00443642">
        <w:rPr>
          <w:sz w:val="22"/>
          <w:szCs w:val="22"/>
          <w:lang w:val="en-US"/>
        </w:rPr>
        <w:t xml:space="preserve"> </w:t>
      </w:r>
      <w:r w:rsidR="008B762D" w:rsidRPr="00443642">
        <w:rPr>
          <w:sz w:val="22"/>
          <w:szCs w:val="22"/>
          <w:lang w:val="en-US"/>
        </w:rPr>
        <w:t>(</w:t>
      </w:r>
      <w:r w:rsidR="00690761" w:rsidRPr="00443642">
        <w:rPr>
          <w:sz w:val="22"/>
          <w:szCs w:val="22"/>
          <w:lang w:val="en-US"/>
        </w:rPr>
        <w:t>BP 2021</w:t>
      </w:r>
      <w:r w:rsidR="0042079C" w:rsidRPr="00443642">
        <w:rPr>
          <w:sz w:val="22"/>
          <w:szCs w:val="22"/>
          <w:lang w:val="en-US"/>
        </w:rPr>
        <w:t>, US EIA 2020</w:t>
      </w:r>
      <w:r w:rsidR="008B762D" w:rsidRPr="00443642">
        <w:rPr>
          <w:sz w:val="22"/>
          <w:szCs w:val="22"/>
          <w:lang w:val="en-US"/>
        </w:rPr>
        <w:t>)</w:t>
      </w:r>
      <w:r w:rsidR="002910F2" w:rsidRPr="00443642">
        <w:rPr>
          <w:sz w:val="22"/>
          <w:szCs w:val="22"/>
          <w:lang w:val="en-US"/>
        </w:rPr>
        <w:t>. LNG has many advantages higher Lower Heat</w:t>
      </w:r>
      <w:r w:rsidR="004F35BE" w:rsidRPr="00443642">
        <w:rPr>
          <w:sz w:val="22"/>
          <w:szCs w:val="22"/>
          <w:lang w:val="en-US"/>
        </w:rPr>
        <w:t>ing</w:t>
      </w:r>
      <w:r w:rsidR="002910F2" w:rsidRPr="00443642">
        <w:rPr>
          <w:sz w:val="22"/>
          <w:szCs w:val="22"/>
          <w:lang w:val="en-US"/>
        </w:rPr>
        <w:t xml:space="preserve"> Value (about 48-</w:t>
      </w:r>
      <w:r w:rsidR="002910F2" w:rsidRPr="00443642">
        <w:rPr>
          <w:sz w:val="22"/>
          <w:szCs w:val="22"/>
          <w:lang w:val="en-US"/>
        </w:rPr>
        <w:lastRenderedPageBreak/>
        <w:t>5</w:t>
      </w:r>
      <w:r w:rsidR="00D66683" w:rsidRPr="00443642">
        <w:rPr>
          <w:sz w:val="22"/>
          <w:szCs w:val="22"/>
          <w:lang w:val="en-US"/>
        </w:rPr>
        <w:t>4</w:t>
      </w:r>
      <w:r w:rsidR="002910F2" w:rsidRPr="00443642">
        <w:rPr>
          <w:sz w:val="22"/>
          <w:szCs w:val="22"/>
          <w:lang w:val="en-US"/>
        </w:rPr>
        <w:t xml:space="preserve"> MJ/kg) than other marine fuels</w:t>
      </w:r>
      <w:r w:rsidR="00BE5822" w:rsidRPr="00443642">
        <w:rPr>
          <w:sz w:val="22"/>
          <w:szCs w:val="22"/>
          <w:lang w:val="en-US"/>
        </w:rPr>
        <w:t xml:space="preserve"> (about 39-43 MJ/kg)</w:t>
      </w:r>
      <w:r w:rsidR="002910F2" w:rsidRPr="00443642">
        <w:rPr>
          <w:sz w:val="22"/>
          <w:szCs w:val="22"/>
          <w:lang w:val="en-US"/>
        </w:rPr>
        <w:t xml:space="preserve">, lower carbon concentration in the fuel (75%) and consequently lower carbon dioxide emission </w:t>
      </w:r>
      <w:r w:rsidR="00060384" w:rsidRPr="00443642">
        <w:rPr>
          <w:sz w:val="22"/>
          <w:szCs w:val="22"/>
          <w:lang w:val="en-US"/>
        </w:rPr>
        <w:t xml:space="preserve">in the combustion process, lower emission of other toxic gases due to the better cleanliness of fuel </w:t>
      </w:r>
      <w:r w:rsidR="008B762D" w:rsidRPr="00443642">
        <w:rPr>
          <w:sz w:val="22"/>
          <w:szCs w:val="22"/>
          <w:lang w:val="en-US"/>
        </w:rPr>
        <w:t>(</w:t>
      </w:r>
      <w:r w:rsidR="0042079C" w:rsidRPr="00443642">
        <w:rPr>
          <w:sz w:val="22"/>
          <w:szCs w:val="22"/>
          <w:lang w:val="en-US"/>
        </w:rPr>
        <w:t>Thomson et al</w:t>
      </w:r>
      <w:r w:rsidR="00064DE8">
        <w:rPr>
          <w:sz w:val="22"/>
          <w:szCs w:val="22"/>
          <w:lang w:val="en-US"/>
        </w:rPr>
        <w:t>.</w:t>
      </w:r>
      <w:r w:rsidR="0042079C" w:rsidRPr="00443642">
        <w:rPr>
          <w:sz w:val="22"/>
          <w:szCs w:val="22"/>
          <w:lang w:val="en-US"/>
        </w:rPr>
        <w:t xml:space="preserve"> 2015</w:t>
      </w:r>
      <w:r w:rsidR="008B762D" w:rsidRPr="00443642">
        <w:rPr>
          <w:sz w:val="22"/>
          <w:szCs w:val="22"/>
          <w:lang w:val="en-US"/>
        </w:rPr>
        <w:t>)</w:t>
      </w:r>
      <w:r w:rsidR="00060384" w:rsidRPr="00443642">
        <w:rPr>
          <w:sz w:val="22"/>
          <w:szCs w:val="22"/>
          <w:lang w:val="en-US"/>
        </w:rPr>
        <w:t xml:space="preserve">. The disadvantages are as follows: very low </w:t>
      </w:r>
      <w:r w:rsidR="00384A8A" w:rsidRPr="00443642">
        <w:rPr>
          <w:sz w:val="22"/>
          <w:szCs w:val="22"/>
          <w:lang w:val="en-US"/>
        </w:rPr>
        <w:t>temperature of liquefying at ambient pressure (-161.5</w:t>
      </w:r>
      <w:r w:rsidR="007F7CB2" w:rsidRPr="007F7CB2">
        <w:rPr>
          <w:sz w:val="22"/>
          <w:szCs w:val="22"/>
          <w:lang w:val="en-US"/>
        </w:rPr>
        <w:t>°</w:t>
      </w:r>
      <w:r w:rsidR="00384A8A" w:rsidRPr="00443642">
        <w:rPr>
          <w:sz w:val="22"/>
          <w:szCs w:val="22"/>
          <w:lang w:val="en-US"/>
        </w:rPr>
        <w:t>C), needs cryogenic fuel tanks with required thermal isolation</w:t>
      </w:r>
      <w:r w:rsidR="00A90EDD">
        <w:rPr>
          <w:sz w:val="22"/>
          <w:szCs w:val="22"/>
          <w:lang w:val="en-US"/>
        </w:rPr>
        <w:t>,</w:t>
      </w:r>
      <w:r w:rsidR="00384A8A" w:rsidRPr="00443642">
        <w:rPr>
          <w:sz w:val="22"/>
          <w:szCs w:val="22"/>
          <w:lang w:val="en-US"/>
        </w:rPr>
        <w:t xml:space="preserve"> and finally</w:t>
      </w:r>
      <w:r w:rsidR="00A90EDD">
        <w:rPr>
          <w:sz w:val="22"/>
          <w:szCs w:val="22"/>
          <w:lang w:val="en-US"/>
        </w:rPr>
        <w:t>,</w:t>
      </w:r>
      <w:r w:rsidR="00384A8A" w:rsidRPr="00443642">
        <w:rPr>
          <w:sz w:val="22"/>
          <w:szCs w:val="22"/>
          <w:lang w:val="en-US"/>
        </w:rPr>
        <w:t xml:space="preserve"> the energetic equivalent volume of fuel tanks </w:t>
      </w:r>
      <w:r w:rsidR="00A90EDD">
        <w:rPr>
          <w:sz w:val="22"/>
          <w:szCs w:val="22"/>
          <w:lang w:val="en-US"/>
        </w:rPr>
        <w:t>is</w:t>
      </w:r>
      <w:r w:rsidR="00384A8A" w:rsidRPr="00443642">
        <w:rPr>
          <w:sz w:val="22"/>
          <w:szCs w:val="22"/>
          <w:lang w:val="en-US"/>
        </w:rPr>
        <w:t xml:space="preserve"> 2-3 times more than for traditional marine fuels (heavy fuel oil and marine diesel oil)</w:t>
      </w:r>
      <w:r w:rsidR="000F6714" w:rsidRPr="00443642">
        <w:rPr>
          <w:sz w:val="22"/>
          <w:szCs w:val="22"/>
          <w:lang w:val="en-US"/>
        </w:rPr>
        <w:t xml:space="preserve"> </w:t>
      </w:r>
      <w:r w:rsidR="008B762D" w:rsidRPr="00443642">
        <w:rPr>
          <w:sz w:val="22"/>
          <w:szCs w:val="22"/>
          <w:lang w:val="en-US"/>
        </w:rPr>
        <w:t>(</w:t>
      </w:r>
      <w:proofErr w:type="spellStart"/>
      <w:r w:rsidR="0042079C" w:rsidRPr="00443642">
        <w:rPr>
          <w:sz w:val="22"/>
          <w:szCs w:val="22"/>
          <w:lang w:val="en-US"/>
        </w:rPr>
        <w:t>Herdzik</w:t>
      </w:r>
      <w:proofErr w:type="spellEnd"/>
      <w:r w:rsidR="0042079C" w:rsidRPr="00443642">
        <w:rPr>
          <w:sz w:val="22"/>
          <w:szCs w:val="22"/>
          <w:lang w:val="en-US"/>
        </w:rPr>
        <w:t xml:space="preserve"> </w:t>
      </w:r>
      <w:r w:rsidR="00475DA0" w:rsidRPr="00443642">
        <w:rPr>
          <w:sz w:val="22"/>
          <w:szCs w:val="22"/>
          <w:lang w:val="en-US"/>
        </w:rPr>
        <w:t xml:space="preserve">2012, </w:t>
      </w:r>
      <w:proofErr w:type="spellStart"/>
      <w:r w:rsidR="00475DA0" w:rsidRPr="00443642">
        <w:rPr>
          <w:sz w:val="22"/>
          <w:szCs w:val="22"/>
          <w:lang w:val="en-US"/>
        </w:rPr>
        <w:t>Herdzik</w:t>
      </w:r>
      <w:proofErr w:type="spellEnd"/>
      <w:r w:rsidR="00475DA0" w:rsidRPr="00443642">
        <w:rPr>
          <w:sz w:val="22"/>
          <w:szCs w:val="22"/>
          <w:lang w:val="en-US"/>
        </w:rPr>
        <w:t xml:space="preserve"> 2013</w:t>
      </w:r>
      <w:r w:rsidR="008B762D" w:rsidRPr="00443642">
        <w:rPr>
          <w:sz w:val="22"/>
          <w:szCs w:val="22"/>
          <w:lang w:val="en-US"/>
        </w:rPr>
        <w:t>)</w:t>
      </w:r>
      <w:r w:rsidR="000F6714" w:rsidRPr="00443642">
        <w:rPr>
          <w:sz w:val="22"/>
          <w:szCs w:val="22"/>
          <w:lang w:val="en-US"/>
        </w:rPr>
        <w:t>, the LNG-air mixture is flammable (5-15%</w:t>
      </w:r>
      <w:r w:rsidR="00475DA0" w:rsidRPr="00443642">
        <w:rPr>
          <w:sz w:val="22"/>
          <w:szCs w:val="22"/>
          <w:lang w:val="en-US"/>
        </w:rPr>
        <w:t>, for pure methane 5.</w:t>
      </w:r>
      <w:r w:rsidR="00D66683" w:rsidRPr="00443642">
        <w:rPr>
          <w:sz w:val="22"/>
          <w:szCs w:val="22"/>
          <w:lang w:val="en-US"/>
        </w:rPr>
        <w:t>3</w:t>
      </w:r>
      <w:r w:rsidR="00475DA0" w:rsidRPr="00443642">
        <w:rPr>
          <w:sz w:val="22"/>
          <w:szCs w:val="22"/>
          <w:lang w:val="en-US"/>
        </w:rPr>
        <w:t>-14% v/v</w:t>
      </w:r>
      <w:r w:rsidR="000F6714" w:rsidRPr="00443642">
        <w:rPr>
          <w:sz w:val="22"/>
          <w:szCs w:val="22"/>
          <w:lang w:val="en-US"/>
        </w:rPr>
        <w:t>) and such fuel system requires additional safety precautions</w:t>
      </w:r>
      <w:r w:rsidR="00384A8A" w:rsidRPr="00443642">
        <w:rPr>
          <w:sz w:val="22"/>
          <w:szCs w:val="22"/>
          <w:lang w:val="en-US"/>
        </w:rPr>
        <w:t>.</w:t>
      </w:r>
      <w:r w:rsidR="00654A16" w:rsidRPr="00443642">
        <w:rPr>
          <w:sz w:val="22"/>
          <w:szCs w:val="22"/>
          <w:lang w:val="en-US"/>
        </w:rPr>
        <w:t xml:space="preserve"> </w:t>
      </w:r>
      <w:r w:rsidR="002E3273" w:rsidRPr="00443642">
        <w:rPr>
          <w:sz w:val="22"/>
          <w:szCs w:val="22"/>
          <w:lang w:val="en-US"/>
        </w:rPr>
        <w:t xml:space="preserve">Two </w:t>
      </w:r>
      <w:r w:rsidR="00A90EDD">
        <w:rPr>
          <w:sz w:val="22"/>
          <w:szCs w:val="22"/>
          <w:lang w:val="en-US"/>
        </w:rPr>
        <w:t>primary</w:t>
      </w:r>
      <w:r w:rsidR="002E3273" w:rsidRPr="00443642">
        <w:rPr>
          <w:sz w:val="22"/>
          <w:szCs w:val="22"/>
          <w:lang w:val="en-US"/>
        </w:rPr>
        <w:t xml:space="preserve"> parameters of methane in a state of gas are </w:t>
      </w:r>
      <w:r w:rsidR="00A90EDD">
        <w:rPr>
          <w:sz w:val="22"/>
          <w:szCs w:val="22"/>
          <w:lang w:val="en-US"/>
        </w:rPr>
        <w:t>essential</w:t>
      </w:r>
      <w:r w:rsidR="002E3273" w:rsidRPr="00443642">
        <w:rPr>
          <w:sz w:val="22"/>
          <w:szCs w:val="22"/>
          <w:lang w:val="en-US"/>
        </w:rPr>
        <w:t>: -187</w:t>
      </w:r>
      <w:r w:rsidR="007F7CB2" w:rsidRPr="007F7CB2">
        <w:rPr>
          <w:sz w:val="22"/>
          <w:szCs w:val="22"/>
          <w:lang w:val="en-US"/>
        </w:rPr>
        <w:t>°</w:t>
      </w:r>
      <w:r w:rsidR="002E3273" w:rsidRPr="00443642">
        <w:rPr>
          <w:sz w:val="22"/>
          <w:szCs w:val="22"/>
          <w:lang w:val="en-US"/>
        </w:rPr>
        <w:t>C is a flash point (risk of fire from naked flame and static electricity)</w:t>
      </w:r>
      <w:r w:rsidR="00A90EDD">
        <w:rPr>
          <w:sz w:val="22"/>
          <w:szCs w:val="22"/>
          <w:lang w:val="en-US"/>
        </w:rPr>
        <w:t>,</w:t>
      </w:r>
      <w:r w:rsidR="002E3273" w:rsidRPr="00443642">
        <w:rPr>
          <w:sz w:val="22"/>
          <w:szCs w:val="22"/>
          <w:lang w:val="en-US"/>
        </w:rPr>
        <w:t xml:space="preserve"> and 530</w:t>
      </w:r>
      <w:r w:rsidR="007F7CB2" w:rsidRPr="007F7CB2">
        <w:rPr>
          <w:sz w:val="22"/>
          <w:szCs w:val="22"/>
          <w:lang w:val="en-US"/>
        </w:rPr>
        <w:t>°</w:t>
      </w:r>
      <w:r w:rsidR="002E3273" w:rsidRPr="00443642">
        <w:rPr>
          <w:sz w:val="22"/>
          <w:szCs w:val="22"/>
          <w:lang w:val="en-US"/>
        </w:rPr>
        <w:t>C is an auto-ignition temperature (means that methane is not ignited from hot surfaces</w:t>
      </w:r>
      <w:r w:rsidR="00A03BC2" w:rsidRPr="00443642">
        <w:rPr>
          <w:sz w:val="22"/>
          <w:szCs w:val="22"/>
          <w:lang w:val="en-US"/>
        </w:rPr>
        <w:t xml:space="preserve"> – lower risk of fire in </w:t>
      </w:r>
      <w:r w:rsidR="00A90EDD">
        <w:rPr>
          <w:sz w:val="22"/>
          <w:szCs w:val="22"/>
          <w:lang w:val="en-US"/>
        </w:rPr>
        <w:t xml:space="preserve">the </w:t>
      </w:r>
      <w:r w:rsidR="00A03BC2" w:rsidRPr="00443642">
        <w:rPr>
          <w:sz w:val="22"/>
          <w:szCs w:val="22"/>
          <w:lang w:val="en-US"/>
        </w:rPr>
        <w:t>engine room</w:t>
      </w:r>
      <w:r w:rsidR="002E3273" w:rsidRPr="00443642">
        <w:rPr>
          <w:sz w:val="22"/>
          <w:szCs w:val="22"/>
          <w:lang w:val="en-US"/>
        </w:rPr>
        <w:t xml:space="preserve">). </w:t>
      </w:r>
    </w:p>
    <w:p w14:paraId="73C5794D" w14:textId="7170F975" w:rsidR="00A21F77" w:rsidRPr="00443642" w:rsidRDefault="00A21F77" w:rsidP="00AB79FA">
      <w:pPr>
        <w:pStyle w:val="Tekst"/>
        <w:ind w:firstLine="357"/>
        <w:rPr>
          <w:sz w:val="22"/>
          <w:szCs w:val="22"/>
          <w:lang w:val="en-US"/>
        </w:rPr>
      </w:pPr>
      <w:r w:rsidRPr="00443642">
        <w:rPr>
          <w:sz w:val="22"/>
          <w:szCs w:val="22"/>
          <w:lang w:val="en-US"/>
        </w:rPr>
        <w:t>In the early phase of using LNG as a marine fuel, independent, type-C tanks were the best suited to dual-fuel or gas-fueled vessels. Now, the GTT (</w:t>
      </w:r>
      <w:r w:rsidR="00A90EDD">
        <w:rPr>
          <w:sz w:val="22"/>
          <w:szCs w:val="22"/>
          <w:lang w:val="en-US"/>
        </w:rPr>
        <w:t>in</w:t>
      </w:r>
      <w:r w:rsidRPr="00443642">
        <w:rPr>
          <w:sz w:val="22"/>
          <w:szCs w:val="22"/>
          <w:lang w:val="en-US"/>
        </w:rPr>
        <w:t xml:space="preserve"> cooperation with Wartsila) offers membrane-type LNG storage tanks of different capacities for all sizes of vessels. </w:t>
      </w:r>
    </w:p>
    <w:p w14:paraId="1EABBF8D" w14:textId="781A7322" w:rsidR="002910F2" w:rsidRPr="00443642" w:rsidRDefault="00654A16" w:rsidP="00AB79FA">
      <w:pPr>
        <w:pStyle w:val="Tekst"/>
        <w:ind w:firstLine="357"/>
        <w:rPr>
          <w:sz w:val="22"/>
          <w:szCs w:val="22"/>
          <w:lang w:val="en-US"/>
        </w:rPr>
      </w:pPr>
      <w:r w:rsidRPr="00443642">
        <w:rPr>
          <w:sz w:val="22"/>
          <w:szCs w:val="22"/>
          <w:lang w:val="en-US"/>
        </w:rPr>
        <w:t xml:space="preserve">The rate of boil-off </w:t>
      </w:r>
      <w:r w:rsidR="0052335B" w:rsidRPr="00443642">
        <w:rPr>
          <w:sz w:val="22"/>
          <w:szCs w:val="22"/>
          <w:lang w:val="en-US"/>
        </w:rPr>
        <w:t xml:space="preserve">gas </w:t>
      </w:r>
      <w:r w:rsidR="00713E96" w:rsidRPr="00443642">
        <w:rPr>
          <w:sz w:val="22"/>
          <w:szCs w:val="22"/>
          <w:lang w:val="en-US"/>
        </w:rPr>
        <w:t xml:space="preserve">(BOG) </w:t>
      </w:r>
      <w:r w:rsidR="00A21F77" w:rsidRPr="00443642">
        <w:rPr>
          <w:sz w:val="22"/>
          <w:szCs w:val="22"/>
          <w:lang w:val="en-US"/>
        </w:rPr>
        <w:t xml:space="preserve">from </w:t>
      </w:r>
      <w:r w:rsidR="00475DA0" w:rsidRPr="00443642">
        <w:rPr>
          <w:sz w:val="22"/>
          <w:szCs w:val="22"/>
          <w:lang w:val="en-US"/>
        </w:rPr>
        <w:t xml:space="preserve">LNG </w:t>
      </w:r>
      <w:r w:rsidR="00A21F77" w:rsidRPr="00443642">
        <w:rPr>
          <w:sz w:val="22"/>
          <w:szCs w:val="22"/>
          <w:lang w:val="en-US"/>
        </w:rPr>
        <w:t>tanks</w:t>
      </w:r>
      <w:r w:rsidR="00475DA0" w:rsidRPr="00443642">
        <w:rPr>
          <w:sz w:val="22"/>
          <w:szCs w:val="22"/>
          <w:lang w:val="en-US"/>
        </w:rPr>
        <w:t xml:space="preserve"> </w:t>
      </w:r>
      <w:r w:rsidRPr="00443642">
        <w:rPr>
          <w:sz w:val="22"/>
          <w:szCs w:val="22"/>
          <w:lang w:val="en-US"/>
        </w:rPr>
        <w:t>is determined</w:t>
      </w:r>
      <w:r w:rsidR="0052335B" w:rsidRPr="00443642">
        <w:rPr>
          <w:sz w:val="22"/>
          <w:szCs w:val="22"/>
          <w:lang w:val="en-US"/>
        </w:rPr>
        <w:t xml:space="preserve"> </w:t>
      </w:r>
      <w:r w:rsidR="00A90EDD">
        <w:rPr>
          <w:sz w:val="22"/>
          <w:szCs w:val="22"/>
          <w:lang w:val="en-US"/>
        </w:rPr>
        <w:t>by</w:t>
      </w:r>
      <w:r w:rsidR="0052335B" w:rsidRPr="00443642">
        <w:rPr>
          <w:sz w:val="22"/>
          <w:szCs w:val="22"/>
          <w:lang w:val="en-US"/>
        </w:rPr>
        <w:t xml:space="preserve"> the kind of thermal insulation and the level of </w:t>
      </w:r>
      <w:r w:rsidR="00A90EDD">
        <w:rPr>
          <w:sz w:val="22"/>
          <w:szCs w:val="22"/>
          <w:lang w:val="en-US"/>
        </w:rPr>
        <w:t xml:space="preserve">the </w:t>
      </w:r>
      <w:r w:rsidR="0052335B" w:rsidRPr="00443642">
        <w:rPr>
          <w:sz w:val="22"/>
          <w:szCs w:val="22"/>
          <w:lang w:val="en-US"/>
        </w:rPr>
        <w:t xml:space="preserve">temperature outside the fuel tank </w:t>
      </w:r>
      <w:r w:rsidR="00EB619B" w:rsidRPr="00443642">
        <w:rPr>
          <w:sz w:val="22"/>
          <w:szCs w:val="22"/>
          <w:lang w:val="en-US"/>
        </w:rPr>
        <w:t xml:space="preserve">(mainly the outboard seawater temperature) </w:t>
      </w:r>
      <w:r w:rsidR="0052335B" w:rsidRPr="00443642">
        <w:rPr>
          <w:sz w:val="22"/>
          <w:szCs w:val="22"/>
          <w:lang w:val="en-US"/>
        </w:rPr>
        <w:t xml:space="preserve">and reaches the level </w:t>
      </w:r>
      <w:r w:rsidR="00A90EDD">
        <w:rPr>
          <w:sz w:val="22"/>
          <w:szCs w:val="22"/>
          <w:lang w:val="en-US"/>
        </w:rPr>
        <w:t xml:space="preserve">of </w:t>
      </w:r>
      <w:r w:rsidR="0052335B" w:rsidRPr="00443642">
        <w:rPr>
          <w:sz w:val="22"/>
          <w:szCs w:val="22"/>
          <w:lang w:val="en-US"/>
        </w:rPr>
        <w:t xml:space="preserve">0.1-0.3% </w:t>
      </w:r>
      <w:r w:rsidR="000943A0" w:rsidRPr="00443642">
        <w:rPr>
          <w:sz w:val="22"/>
          <w:szCs w:val="22"/>
          <w:lang w:val="en-US"/>
        </w:rPr>
        <w:t xml:space="preserve">of tank volume </w:t>
      </w:r>
      <w:r w:rsidR="0052335B" w:rsidRPr="00443642">
        <w:rPr>
          <w:sz w:val="22"/>
          <w:szCs w:val="22"/>
          <w:lang w:val="en-US"/>
        </w:rPr>
        <w:t>per day</w:t>
      </w:r>
      <w:r w:rsidR="008F0167" w:rsidRPr="00443642">
        <w:rPr>
          <w:sz w:val="22"/>
          <w:szCs w:val="22"/>
          <w:lang w:val="en-US"/>
        </w:rPr>
        <w:t xml:space="preserve"> (</w:t>
      </w:r>
      <w:proofErr w:type="spellStart"/>
      <w:r w:rsidR="008F0167" w:rsidRPr="00443642">
        <w:rPr>
          <w:sz w:val="22"/>
          <w:szCs w:val="22"/>
          <w:lang w:val="en-US"/>
        </w:rPr>
        <w:t>Herdzik</w:t>
      </w:r>
      <w:proofErr w:type="spellEnd"/>
      <w:r w:rsidR="008F0167" w:rsidRPr="00443642">
        <w:rPr>
          <w:sz w:val="22"/>
          <w:szCs w:val="22"/>
          <w:lang w:val="en-US"/>
        </w:rPr>
        <w:t xml:space="preserve"> 2018</w:t>
      </w:r>
      <w:r w:rsidR="00EB40F2" w:rsidRPr="00443642">
        <w:rPr>
          <w:sz w:val="22"/>
          <w:szCs w:val="22"/>
          <w:lang w:val="en-US"/>
        </w:rPr>
        <w:t>a</w:t>
      </w:r>
      <w:r w:rsidR="008F0167" w:rsidRPr="00443642">
        <w:rPr>
          <w:sz w:val="22"/>
          <w:szCs w:val="22"/>
          <w:lang w:val="en-US"/>
        </w:rPr>
        <w:t>)</w:t>
      </w:r>
      <w:r w:rsidR="0052335B" w:rsidRPr="00443642">
        <w:rPr>
          <w:sz w:val="22"/>
          <w:szCs w:val="22"/>
          <w:lang w:val="en-US"/>
        </w:rPr>
        <w:t xml:space="preserve">. </w:t>
      </w:r>
      <w:r w:rsidR="004F35BE" w:rsidRPr="00443642">
        <w:rPr>
          <w:sz w:val="22"/>
          <w:szCs w:val="22"/>
          <w:lang w:val="en-US"/>
        </w:rPr>
        <w:t>The rate m</w:t>
      </w:r>
      <w:r w:rsidR="0052335B" w:rsidRPr="00443642">
        <w:rPr>
          <w:sz w:val="22"/>
          <w:szCs w:val="22"/>
          <w:lang w:val="en-US"/>
        </w:rPr>
        <w:t>ay</w:t>
      </w:r>
      <w:r w:rsidR="004F35BE" w:rsidRPr="00443642">
        <w:rPr>
          <w:sz w:val="22"/>
          <w:szCs w:val="22"/>
          <w:lang w:val="en-US"/>
        </w:rPr>
        <w:t xml:space="preserve"> </w:t>
      </w:r>
      <w:r w:rsidR="0052335B" w:rsidRPr="00443642">
        <w:rPr>
          <w:sz w:val="22"/>
          <w:szCs w:val="22"/>
          <w:lang w:val="en-US"/>
        </w:rPr>
        <w:t xml:space="preserve">be increased using the LNG </w:t>
      </w:r>
      <w:proofErr w:type="spellStart"/>
      <w:r w:rsidR="0052335B" w:rsidRPr="00443642">
        <w:rPr>
          <w:sz w:val="22"/>
          <w:szCs w:val="22"/>
          <w:lang w:val="en-US"/>
        </w:rPr>
        <w:t>vapori</w:t>
      </w:r>
      <w:r w:rsidR="00A90EDD">
        <w:rPr>
          <w:sz w:val="22"/>
          <w:szCs w:val="22"/>
          <w:lang w:val="en-US"/>
        </w:rPr>
        <w:t>s</w:t>
      </w:r>
      <w:r w:rsidR="0052335B" w:rsidRPr="00443642">
        <w:rPr>
          <w:sz w:val="22"/>
          <w:szCs w:val="22"/>
          <w:lang w:val="en-US"/>
        </w:rPr>
        <w:t>ers</w:t>
      </w:r>
      <w:proofErr w:type="spellEnd"/>
      <w:r w:rsidR="0052335B" w:rsidRPr="00443642">
        <w:rPr>
          <w:sz w:val="22"/>
          <w:szCs w:val="22"/>
          <w:lang w:val="en-US"/>
        </w:rPr>
        <w:t xml:space="preserve"> or</w:t>
      </w:r>
      <w:r w:rsidR="004F35BE" w:rsidRPr="00443642">
        <w:rPr>
          <w:sz w:val="22"/>
          <w:szCs w:val="22"/>
          <w:lang w:val="en-US"/>
        </w:rPr>
        <w:t xml:space="preserve"> other heat exchangers which</w:t>
      </w:r>
      <w:r w:rsidR="00414E45" w:rsidRPr="00443642">
        <w:rPr>
          <w:sz w:val="22"/>
          <w:szCs w:val="22"/>
          <w:lang w:val="en-US"/>
        </w:rPr>
        <w:t xml:space="preserve"> use the</w:t>
      </w:r>
      <w:r w:rsidR="0052335B" w:rsidRPr="00443642">
        <w:rPr>
          <w:sz w:val="22"/>
          <w:szCs w:val="22"/>
          <w:lang w:val="en-US"/>
        </w:rPr>
        <w:t xml:space="preserve"> waste heat of </w:t>
      </w:r>
      <w:r w:rsidR="000943A0" w:rsidRPr="00443642">
        <w:rPr>
          <w:sz w:val="22"/>
          <w:szCs w:val="22"/>
          <w:lang w:val="en-US"/>
        </w:rPr>
        <w:t xml:space="preserve">engine </w:t>
      </w:r>
      <w:r w:rsidR="0052335B" w:rsidRPr="00443642">
        <w:rPr>
          <w:sz w:val="22"/>
          <w:szCs w:val="22"/>
          <w:lang w:val="en-US"/>
        </w:rPr>
        <w:t>cooling water</w:t>
      </w:r>
      <w:r w:rsidR="000943A0" w:rsidRPr="00443642">
        <w:rPr>
          <w:sz w:val="22"/>
          <w:szCs w:val="22"/>
          <w:lang w:val="en-US"/>
        </w:rPr>
        <w:t xml:space="preserve"> if the demand </w:t>
      </w:r>
      <w:r w:rsidR="00414E45" w:rsidRPr="00443642">
        <w:rPr>
          <w:sz w:val="22"/>
          <w:szCs w:val="22"/>
          <w:lang w:val="en-US"/>
        </w:rPr>
        <w:t xml:space="preserve">for gas fuel </w:t>
      </w:r>
      <w:r w:rsidR="000943A0" w:rsidRPr="00443642">
        <w:rPr>
          <w:sz w:val="22"/>
          <w:szCs w:val="22"/>
          <w:lang w:val="en-US"/>
        </w:rPr>
        <w:t>is increased</w:t>
      </w:r>
      <w:r w:rsidR="00A27AC4" w:rsidRPr="00443642">
        <w:rPr>
          <w:sz w:val="22"/>
          <w:szCs w:val="22"/>
          <w:lang w:val="en-US"/>
        </w:rPr>
        <w:t xml:space="preserve"> (increased demand for power)</w:t>
      </w:r>
      <w:r w:rsidR="000943A0" w:rsidRPr="00443642">
        <w:rPr>
          <w:sz w:val="22"/>
          <w:szCs w:val="22"/>
          <w:lang w:val="en-US"/>
        </w:rPr>
        <w:t>.</w:t>
      </w:r>
      <w:r w:rsidR="0052335B" w:rsidRPr="00443642">
        <w:rPr>
          <w:sz w:val="22"/>
          <w:szCs w:val="22"/>
          <w:lang w:val="en-US"/>
        </w:rPr>
        <w:t xml:space="preserve"> </w:t>
      </w:r>
      <w:r w:rsidRPr="00443642">
        <w:rPr>
          <w:sz w:val="22"/>
          <w:szCs w:val="22"/>
          <w:lang w:val="en-US"/>
        </w:rPr>
        <w:t xml:space="preserve">In </w:t>
      </w:r>
      <w:r w:rsidR="00A90EDD">
        <w:rPr>
          <w:sz w:val="22"/>
          <w:szCs w:val="22"/>
          <w:lang w:val="en-US"/>
        </w:rPr>
        <w:t>the</w:t>
      </w:r>
      <w:r w:rsidRPr="00443642">
        <w:rPr>
          <w:sz w:val="22"/>
          <w:szCs w:val="22"/>
          <w:lang w:val="en-US"/>
        </w:rPr>
        <w:t xml:space="preserve"> case of </w:t>
      </w:r>
      <w:r w:rsidR="00A90EDD">
        <w:rPr>
          <w:sz w:val="22"/>
          <w:szCs w:val="22"/>
          <w:lang w:val="en-US"/>
        </w:rPr>
        <w:t>deficient</w:t>
      </w:r>
      <w:r w:rsidR="000943A0" w:rsidRPr="00443642">
        <w:rPr>
          <w:sz w:val="22"/>
          <w:szCs w:val="22"/>
          <w:lang w:val="en-US"/>
        </w:rPr>
        <w:t xml:space="preserve"> demand for gas</w:t>
      </w:r>
      <w:r w:rsidR="00EB619B" w:rsidRPr="00443642">
        <w:rPr>
          <w:sz w:val="22"/>
          <w:szCs w:val="22"/>
          <w:lang w:val="en-US"/>
        </w:rPr>
        <w:t>,</w:t>
      </w:r>
      <w:r w:rsidR="000943A0" w:rsidRPr="00443642">
        <w:rPr>
          <w:sz w:val="22"/>
          <w:szCs w:val="22"/>
          <w:lang w:val="en-US"/>
        </w:rPr>
        <w:t xml:space="preserve"> the pressure of gasses inside the fuel tank may increase over the level of opening the safety relief valves</w:t>
      </w:r>
      <w:r w:rsidR="00A90EDD">
        <w:rPr>
          <w:sz w:val="22"/>
          <w:szCs w:val="22"/>
          <w:lang w:val="en-US"/>
        </w:rPr>
        <w:t>,</w:t>
      </w:r>
      <w:r w:rsidR="000943A0" w:rsidRPr="00443642">
        <w:rPr>
          <w:sz w:val="22"/>
          <w:szCs w:val="22"/>
          <w:lang w:val="en-US"/>
        </w:rPr>
        <w:t xml:space="preserve"> </w:t>
      </w:r>
      <w:r w:rsidR="00414E45" w:rsidRPr="00443642">
        <w:rPr>
          <w:sz w:val="22"/>
          <w:szCs w:val="22"/>
          <w:lang w:val="en-US"/>
        </w:rPr>
        <w:t>and</w:t>
      </w:r>
      <w:r w:rsidR="000943A0" w:rsidRPr="00443642">
        <w:rPr>
          <w:sz w:val="22"/>
          <w:szCs w:val="22"/>
          <w:lang w:val="en-US"/>
        </w:rPr>
        <w:t xml:space="preserve"> </w:t>
      </w:r>
      <w:r w:rsidR="00194FE9" w:rsidRPr="00443642">
        <w:rPr>
          <w:sz w:val="22"/>
          <w:szCs w:val="22"/>
          <w:lang w:val="en-US"/>
        </w:rPr>
        <w:t xml:space="preserve">the </w:t>
      </w:r>
      <w:r w:rsidR="00A90EDD">
        <w:rPr>
          <w:sz w:val="22"/>
          <w:szCs w:val="22"/>
          <w:lang w:val="en-US"/>
        </w:rPr>
        <w:t>discharge system will release the gasses</w:t>
      </w:r>
      <w:r w:rsidR="004F35BE" w:rsidRPr="00443642">
        <w:rPr>
          <w:sz w:val="22"/>
          <w:szCs w:val="22"/>
          <w:lang w:val="en-US"/>
        </w:rPr>
        <w:t xml:space="preserve"> to </w:t>
      </w:r>
      <w:r w:rsidR="00A27AC4" w:rsidRPr="00443642">
        <w:rPr>
          <w:sz w:val="22"/>
          <w:szCs w:val="22"/>
          <w:lang w:val="en-US"/>
        </w:rPr>
        <w:t xml:space="preserve">a </w:t>
      </w:r>
      <w:r w:rsidR="004F35BE" w:rsidRPr="00443642">
        <w:rPr>
          <w:sz w:val="22"/>
          <w:szCs w:val="22"/>
          <w:lang w:val="en-US"/>
        </w:rPr>
        <w:t>mast riser into the atmosphere</w:t>
      </w:r>
      <w:r w:rsidR="00475DA0" w:rsidRPr="00443642">
        <w:rPr>
          <w:sz w:val="22"/>
          <w:szCs w:val="22"/>
          <w:lang w:val="en-US"/>
        </w:rPr>
        <w:t xml:space="preserve"> </w:t>
      </w:r>
      <w:r w:rsidR="008B762D" w:rsidRPr="00443642">
        <w:rPr>
          <w:sz w:val="22"/>
          <w:szCs w:val="22"/>
          <w:lang w:val="en-US"/>
        </w:rPr>
        <w:t>(</w:t>
      </w:r>
      <w:proofErr w:type="spellStart"/>
      <w:r w:rsidR="00475DA0" w:rsidRPr="00443642">
        <w:rPr>
          <w:sz w:val="22"/>
          <w:szCs w:val="22"/>
          <w:lang w:val="en-US"/>
        </w:rPr>
        <w:t>Corres</w:t>
      </w:r>
      <w:proofErr w:type="spellEnd"/>
      <w:r w:rsidR="00475DA0" w:rsidRPr="00443642">
        <w:rPr>
          <w:sz w:val="22"/>
          <w:szCs w:val="22"/>
          <w:lang w:val="en-US"/>
        </w:rPr>
        <w:t xml:space="preserve"> 2017</w:t>
      </w:r>
      <w:r w:rsidR="008B762D" w:rsidRPr="00443642">
        <w:rPr>
          <w:sz w:val="22"/>
          <w:szCs w:val="22"/>
          <w:lang w:val="en-US"/>
        </w:rPr>
        <w:t>)</w:t>
      </w:r>
      <w:r w:rsidR="004F35BE" w:rsidRPr="00443642">
        <w:rPr>
          <w:sz w:val="22"/>
          <w:szCs w:val="22"/>
          <w:lang w:val="en-US"/>
        </w:rPr>
        <w:t xml:space="preserve">. </w:t>
      </w:r>
      <w:r w:rsidR="00A90EDD">
        <w:rPr>
          <w:sz w:val="22"/>
          <w:szCs w:val="22"/>
          <w:lang w:val="en-US"/>
        </w:rPr>
        <w:t>The varying demand for BOG in the different operating states of the ship must be</w:t>
      </w:r>
      <w:r w:rsidR="00B46F25" w:rsidRPr="00443642">
        <w:rPr>
          <w:sz w:val="22"/>
          <w:szCs w:val="22"/>
          <w:lang w:val="en-US"/>
        </w:rPr>
        <w:t xml:space="preserve"> close to the natural rate of BOG evaporation</w:t>
      </w:r>
      <w:r w:rsidR="00F61F1E" w:rsidRPr="00443642">
        <w:rPr>
          <w:sz w:val="22"/>
          <w:szCs w:val="22"/>
          <w:lang w:val="en-US"/>
        </w:rPr>
        <w:t xml:space="preserve"> in fuel tanks</w:t>
      </w:r>
      <w:r w:rsidR="00B46F25" w:rsidRPr="00443642">
        <w:rPr>
          <w:sz w:val="22"/>
          <w:szCs w:val="22"/>
          <w:lang w:val="en-US"/>
        </w:rPr>
        <w:t xml:space="preserve">. </w:t>
      </w:r>
      <w:r w:rsidR="00A90EDD">
        <w:rPr>
          <w:sz w:val="22"/>
          <w:szCs w:val="22"/>
          <w:lang w:val="en-US"/>
        </w:rPr>
        <w:t>Furthermore,</w:t>
      </w:r>
      <w:r w:rsidR="00B46F25" w:rsidRPr="00443642">
        <w:rPr>
          <w:sz w:val="22"/>
          <w:szCs w:val="22"/>
          <w:lang w:val="en-US"/>
        </w:rPr>
        <w:t xml:space="preserve"> </w:t>
      </w:r>
      <w:r w:rsidR="00A90EDD">
        <w:rPr>
          <w:sz w:val="22"/>
          <w:szCs w:val="22"/>
          <w:lang w:val="en-US"/>
        </w:rPr>
        <w:t>main</w:t>
      </w:r>
      <w:r w:rsidR="00B46F25" w:rsidRPr="00443642">
        <w:rPr>
          <w:sz w:val="22"/>
          <w:szCs w:val="22"/>
          <w:lang w:val="en-US"/>
        </w:rPr>
        <w:t xml:space="preserve">ly so that it is possible to consume BOG in the operating state with the lowest total energy (power) demand. </w:t>
      </w:r>
      <w:r w:rsidR="00A90EDD">
        <w:rPr>
          <w:sz w:val="22"/>
          <w:szCs w:val="22"/>
          <w:lang w:val="en-US"/>
        </w:rPr>
        <w:t>Using</w:t>
      </w:r>
      <w:r w:rsidR="00BD0F79" w:rsidRPr="00443642">
        <w:rPr>
          <w:sz w:val="22"/>
          <w:szCs w:val="22"/>
          <w:lang w:val="en-US"/>
        </w:rPr>
        <w:t xml:space="preserve"> BOG re-liquefaction systems</w:t>
      </w:r>
      <w:r w:rsidR="00713E96" w:rsidRPr="00443642">
        <w:rPr>
          <w:sz w:val="22"/>
          <w:szCs w:val="22"/>
          <w:lang w:val="en-US"/>
        </w:rPr>
        <w:t xml:space="preserve"> </w:t>
      </w:r>
      <w:r w:rsidR="00BD0F79" w:rsidRPr="00443642">
        <w:rPr>
          <w:sz w:val="22"/>
          <w:szCs w:val="22"/>
          <w:lang w:val="en-US"/>
        </w:rPr>
        <w:t>would significantly complicate the fuel system and, due to</w:t>
      </w:r>
      <w:r w:rsidR="00384A8A" w:rsidRPr="00443642">
        <w:rPr>
          <w:sz w:val="22"/>
          <w:szCs w:val="22"/>
          <w:lang w:val="en-US"/>
        </w:rPr>
        <w:t xml:space="preserve"> </w:t>
      </w:r>
      <w:r w:rsidR="00812D09" w:rsidRPr="00443642">
        <w:rPr>
          <w:sz w:val="22"/>
          <w:szCs w:val="22"/>
          <w:lang w:val="en-US"/>
        </w:rPr>
        <w:t>additional electric energy consumption, would impair the efficiency of using LNG as a whole.</w:t>
      </w:r>
    </w:p>
    <w:p w14:paraId="500EC685" w14:textId="409F9FF4" w:rsidR="00BD0F79" w:rsidRDefault="00BD0F79" w:rsidP="005C088A">
      <w:pPr>
        <w:pStyle w:val="Rn1"/>
        <w:jc w:val="left"/>
      </w:pPr>
      <w:r>
        <w:t xml:space="preserve">2. Solutions of LNG </w:t>
      </w:r>
      <w:proofErr w:type="spellStart"/>
      <w:r>
        <w:t>fuel</w:t>
      </w:r>
      <w:proofErr w:type="spellEnd"/>
      <w:r>
        <w:t xml:space="preserve"> </w:t>
      </w:r>
      <w:proofErr w:type="spellStart"/>
      <w:r>
        <w:t>systems</w:t>
      </w:r>
      <w:proofErr w:type="spellEnd"/>
      <w:r>
        <w:t xml:space="preserve"> </w:t>
      </w:r>
      <w:r w:rsidR="00A90EDD">
        <w:t>for</w:t>
      </w:r>
      <w:r>
        <w:t xml:space="preserve"> </w:t>
      </w:r>
      <w:proofErr w:type="spellStart"/>
      <w:r>
        <w:t>marine</w:t>
      </w:r>
      <w:proofErr w:type="spellEnd"/>
      <w:r>
        <w:t xml:space="preserve"> diesel </w:t>
      </w:r>
      <w:proofErr w:type="spellStart"/>
      <w:r>
        <w:t>engines</w:t>
      </w:r>
      <w:proofErr w:type="spellEnd"/>
    </w:p>
    <w:p w14:paraId="6FE5A490" w14:textId="1590BABF" w:rsidR="002E3273" w:rsidRPr="00443642" w:rsidRDefault="002E3273" w:rsidP="004145CB">
      <w:pPr>
        <w:pStyle w:val="Tekst"/>
        <w:ind w:firstLine="0"/>
        <w:rPr>
          <w:sz w:val="22"/>
          <w:szCs w:val="22"/>
          <w:lang w:val="en-US"/>
        </w:rPr>
      </w:pPr>
      <w:r w:rsidRPr="00443642">
        <w:rPr>
          <w:sz w:val="22"/>
          <w:szCs w:val="22"/>
          <w:lang w:val="en-US"/>
        </w:rPr>
        <w:t>There are three concepts for LNG fuel systems for marine diesel engines:</w:t>
      </w:r>
    </w:p>
    <w:p w14:paraId="6C58EA8E" w14:textId="6C3F2969" w:rsidR="002E3273" w:rsidRPr="00443642" w:rsidRDefault="002E3273" w:rsidP="00465621">
      <w:pPr>
        <w:pStyle w:val="Tekst"/>
        <w:numPr>
          <w:ilvl w:val="0"/>
          <w:numId w:val="22"/>
        </w:numPr>
        <w:ind w:left="378"/>
        <w:rPr>
          <w:sz w:val="22"/>
          <w:szCs w:val="22"/>
          <w:lang w:val="en-US"/>
        </w:rPr>
      </w:pPr>
      <w:r w:rsidRPr="00443642">
        <w:rPr>
          <w:sz w:val="22"/>
          <w:szCs w:val="22"/>
          <w:lang w:val="en-US"/>
        </w:rPr>
        <w:t xml:space="preserve">LNG system with pump – it is a simple system with </w:t>
      </w:r>
      <w:r w:rsidR="0033444F" w:rsidRPr="00443642">
        <w:rPr>
          <w:sz w:val="22"/>
          <w:szCs w:val="22"/>
          <w:lang w:val="en-US"/>
        </w:rPr>
        <w:t xml:space="preserve">a lower pressure tank and forced additional evaporation in a </w:t>
      </w:r>
      <w:proofErr w:type="spellStart"/>
      <w:r w:rsidR="0033444F" w:rsidRPr="00443642">
        <w:rPr>
          <w:sz w:val="22"/>
          <w:szCs w:val="22"/>
          <w:lang w:val="en-US"/>
        </w:rPr>
        <w:t>vapori</w:t>
      </w:r>
      <w:r w:rsidR="00A90EDD">
        <w:rPr>
          <w:sz w:val="22"/>
          <w:szCs w:val="22"/>
          <w:lang w:val="en-US"/>
        </w:rPr>
        <w:t>s</w:t>
      </w:r>
      <w:r w:rsidR="0033444F" w:rsidRPr="00443642">
        <w:rPr>
          <w:sz w:val="22"/>
          <w:szCs w:val="22"/>
          <w:lang w:val="en-US"/>
        </w:rPr>
        <w:t>er</w:t>
      </w:r>
      <w:proofErr w:type="spellEnd"/>
      <w:r w:rsidR="0033444F" w:rsidRPr="00443642">
        <w:rPr>
          <w:sz w:val="22"/>
          <w:szCs w:val="22"/>
          <w:lang w:val="en-US"/>
        </w:rPr>
        <w:t xml:space="preserve"> and gas heater for gas engines require a pressure of 2-3 bar(g);</w:t>
      </w:r>
    </w:p>
    <w:p w14:paraId="35DB4C68" w14:textId="3617D662" w:rsidR="0033444F" w:rsidRPr="00443642" w:rsidRDefault="0033444F" w:rsidP="00465621">
      <w:pPr>
        <w:pStyle w:val="Tekst"/>
        <w:numPr>
          <w:ilvl w:val="0"/>
          <w:numId w:val="22"/>
        </w:numPr>
        <w:ind w:left="378"/>
        <w:rPr>
          <w:sz w:val="22"/>
          <w:szCs w:val="22"/>
          <w:lang w:val="en-US"/>
        </w:rPr>
      </w:pPr>
      <w:r w:rsidRPr="00443642">
        <w:rPr>
          <w:sz w:val="22"/>
          <w:szCs w:val="22"/>
          <w:lang w:val="en-US"/>
        </w:rPr>
        <w:t>LNG system with pressure build-up – there is a pressure build-up system which brings the entire tank up to the pressure required by the engines. This is the simplest and cheapest system but has a</w:t>
      </w:r>
      <w:r w:rsidR="00A90EDD">
        <w:rPr>
          <w:sz w:val="22"/>
          <w:szCs w:val="22"/>
          <w:lang w:val="en-US"/>
        </w:rPr>
        <w:t xml:space="preserve"> signific</w:t>
      </w:r>
      <w:r w:rsidRPr="00443642">
        <w:rPr>
          <w:sz w:val="22"/>
          <w:szCs w:val="22"/>
          <w:lang w:val="en-US"/>
        </w:rPr>
        <w:t>ant disadvantage</w:t>
      </w:r>
      <w:r w:rsidR="00A90EDD">
        <w:rPr>
          <w:sz w:val="22"/>
          <w:szCs w:val="22"/>
          <w:lang w:val="en-US"/>
        </w:rPr>
        <w:t>. W</w:t>
      </w:r>
      <w:r w:rsidRPr="00443642">
        <w:rPr>
          <w:sz w:val="22"/>
          <w:szCs w:val="22"/>
          <w:lang w:val="en-US"/>
        </w:rPr>
        <w:t xml:space="preserve">hen </w:t>
      </w:r>
      <w:r w:rsidRPr="00443642">
        <w:rPr>
          <w:sz w:val="22"/>
          <w:szCs w:val="22"/>
          <w:lang w:val="en-US"/>
        </w:rPr>
        <w:lastRenderedPageBreak/>
        <w:t>no fuel is used (</w:t>
      </w:r>
      <w:r w:rsidR="00A90EDD">
        <w:rPr>
          <w:sz w:val="22"/>
          <w:szCs w:val="22"/>
          <w:lang w:val="en-US"/>
        </w:rPr>
        <w:t xml:space="preserve">the </w:t>
      </w:r>
      <w:r w:rsidRPr="00443642">
        <w:rPr>
          <w:sz w:val="22"/>
          <w:szCs w:val="22"/>
          <w:lang w:val="en-US"/>
        </w:rPr>
        <w:t>engine stopped)</w:t>
      </w:r>
      <w:r w:rsidR="00E06D57" w:rsidRPr="00443642">
        <w:rPr>
          <w:sz w:val="22"/>
          <w:szCs w:val="22"/>
          <w:lang w:val="en-US"/>
        </w:rPr>
        <w:t>, the tank pressure will slowly creep up until it must be blown off. The blown</w:t>
      </w:r>
      <w:r w:rsidR="00A90EDD">
        <w:rPr>
          <w:sz w:val="22"/>
          <w:szCs w:val="22"/>
          <w:lang w:val="en-US"/>
        </w:rPr>
        <w:t>-</w:t>
      </w:r>
      <w:r w:rsidR="00E06D57" w:rsidRPr="00443642">
        <w:rPr>
          <w:sz w:val="22"/>
          <w:szCs w:val="22"/>
          <w:lang w:val="en-US"/>
        </w:rPr>
        <w:t>off gas should be burn</w:t>
      </w:r>
      <w:r w:rsidR="00A90EDD">
        <w:rPr>
          <w:sz w:val="22"/>
          <w:szCs w:val="22"/>
          <w:lang w:val="en-US"/>
        </w:rPr>
        <w:t>ed</w:t>
      </w:r>
      <w:r w:rsidR="00E06D57" w:rsidRPr="00443642">
        <w:rPr>
          <w:sz w:val="22"/>
          <w:szCs w:val="22"/>
          <w:lang w:val="en-US"/>
        </w:rPr>
        <w:t xml:space="preserve"> in the incinerator;</w:t>
      </w:r>
    </w:p>
    <w:p w14:paraId="640A2533" w14:textId="411AD7E1" w:rsidR="0033444F" w:rsidRPr="00443642" w:rsidRDefault="00E06D57" w:rsidP="00465621">
      <w:pPr>
        <w:pStyle w:val="Tekst"/>
        <w:numPr>
          <w:ilvl w:val="0"/>
          <w:numId w:val="22"/>
        </w:numPr>
        <w:ind w:left="378"/>
        <w:rPr>
          <w:sz w:val="22"/>
          <w:szCs w:val="22"/>
          <w:lang w:val="en-US"/>
        </w:rPr>
      </w:pPr>
      <w:r w:rsidRPr="00443642">
        <w:rPr>
          <w:sz w:val="22"/>
          <w:szCs w:val="22"/>
          <w:lang w:val="en-US"/>
        </w:rPr>
        <w:t xml:space="preserve">LNG fuel system with compressor – </w:t>
      </w:r>
      <w:r w:rsidR="00A90EDD">
        <w:rPr>
          <w:sz w:val="22"/>
          <w:szCs w:val="22"/>
          <w:lang w:val="en-US"/>
        </w:rPr>
        <w:t>BOG compressor can be used</w:t>
      </w:r>
      <w:r w:rsidRPr="00443642">
        <w:rPr>
          <w:sz w:val="22"/>
          <w:szCs w:val="22"/>
          <w:lang w:val="en-US"/>
        </w:rPr>
        <w:t xml:space="preserve"> to bring the gas to the engine. This is the most flexible solution but has </w:t>
      </w:r>
      <w:r w:rsidR="00A90EDD">
        <w:rPr>
          <w:sz w:val="22"/>
          <w:szCs w:val="22"/>
          <w:lang w:val="en-US"/>
        </w:rPr>
        <w:t>another critical disadvantage – compressors are expensive and less efficient than</w:t>
      </w:r>
      <w:r w:rsidRPr="00443642">
        <w:rPr>
          <w:sz w:val="22"/>
          <w:szCs w:val="22"/>
          <w:lang w:val="en-US"/>
        </w:rPr>
        <w:t xml:space="preserve"> a pump system. Additionally, the natural gas during compression should be cooled in a</w:t>
      </w:r>
      <w:r w:rsidR="00A90EDD">
        <w:rPr>
          <w:sz w:val="22"/>
          <w:szCs w:val="22"/>
          <w:lang w:val="en-US"/>
        </w:rPr>
        <w:t>n</w:t>
      </w:r>
      <w:r w:rsidRPr="00443642">
        <w:rPr>
          <w:sz w:val="22"/>
          <w:szCs w:val="22"/>
          <w:lang w:val="en-US"/>
        </w:rPr>
        <w:t xml:space="preserve"> intercooler and aftercooler.</w:t>
      </w:r>
    </w:p>
    <w:p w14:paraId="5EA8D33A" w14:textId="77777777" w:rsidR="00514915" w:rsidRPr="00443642" w:rsidRDefault="00514915" w:rsidP="00BD0F79">
      <w:pPr>
        <w:pStyle w:val="Tekst"/>
        <w:ind w:firstLine="709"/>
        <w:rPr>
          <w:sz w:val="22"/>
          <w:szCs w:val="22"/>
          <w:lang w:val="en-US"/>
        </w:rPr>
      </w:pPr>
    </w:p>
    <w:p w14:paraId="66AA2FDE" w14:textId="0326A867" w:rsidR="00100923" w:rsidRPr="005C088A" w:rsidRDefault="00100923" w:rsidP="00AB79FA">
      <w:pPr>
        <w:pStyle w:val="Tekst"/>
        <w:ind w:firstLine="357"/>
        <w:rPr>
          <w:spacing w:val="-2"/>
          <w:sz w:val="22"/>
          <w:szCs w:val="22"/>
          <w:lang w:val="en-US"/>
        </w:rPr>
      </w:pPr>
      <w:r w:rsidRPr="005C088A">
        <w:rPr>
          <w:spacing w:val="-2"/>
          <w:sz w:val="22"/>
          <w:szCs w:val="22"/>
          <w:lang w:val="en-US"/>
        </w:rPr>
        <w:t xml:space="preserve">TGE proposed </w:t>
      </w:r>
      <w:r w:rsidR="00A90EDD" w:rsidRPr="005C088A">
        <w:rPr>
          <w:spacing w:val="-2"/>
          <w:sz w:val="22"/>
          <w:szCs w:val="22"/>
          <w:lang w:val="en-US"/>
        </w:rPr>
        <w:t xml:space="preserve">an </w:t>
      </w:r>
      <w:r w:rsidRPr="005C088A">
        <w:rPr>
          <w:spacing w:val="-2"/>
          <w:sz w:val="22"/>
          <w:szCs w:val="22"/>
          <w:lang w:val="en-US"/>
        </w:rPr>
        <w:t>LNG fuel system presented in Fig.</w:t>
      </w:r>
      <w:r w:rsidR="00C3091B" w:rsidRPr="005C088A">
        <w:rPr>
          <w:spacing w:val="-2"/>
          <w:sz w:val="22"/>
          <w:szCs w:val="22"/>
          <w:lang w:val="en-US"/>
        </w:rPr>
        <w:t xml:space="preserve"> </w:t>
      </w:r>
      <w:r w:rsidRPr="005C088A">
        <w:rPr>
          <w:spacing w:val="-2"/>
          <w:sz w:val="22"/>
          <w:szCs w:val="22"/>
          <w:lang w:val="en-US"/>
        </w:rPr>
        <w:t xml:space="preserve">1 </w:t>
      </w:r>
      <w:r w:rsidR="00FB3401" w:rsidRPr="005C088A">
        <w:rPr>
          <w:spacing w:val="-2"/>
          <w:sz w:val="22"/>
          <w:szCs w:val="22"/>
          <w:lang w:val="en-US"/>
        </w:rPr>
        <w:t xml:space="preserve">with a tank design pressure </w:t>
      </w:r>
      <w:r w:rsidR="00A90EDD" w:rsidRPr="005C088A">
        <w:rPr>
          <w:spacing w:val="-2"/>
          <w:sz w:val="22"/>
          <w:szCs w:val="22"/>
          <w:lang w:val="en-US"/>
        </w:rPr>
        <w:t xml:space="preserve">of </w:t>
      </w:r>
      <w:r w:rsidR="00FB3401" w:rsidRPr="005C088A">
        <w:rPr>
          <w:spacing w:val="-2"/>
          <w:sz w:val="22"/>
          <w:szCs w:val="22"/>
          <w:lang w:val="en-US"/>
        </w:rPr>
        <w:t xml:space="preserve">4 bar(g) and different gas pressures for auxiliary engines (about 4 bar(g)) and </w:t>
      </w:r>
      <w:r w:rsidR="00A90EDD" w:rsidRPr="005C088A">
        <w:rPr>
          <w:spacing w:val="-2"/>
          <w:sz w:val="22"/>
          <w:szCs w:val="22"/>
          <w:lang w:val="en-US"/>
        </w:rPr>
        <w:t xml:space="preserve">a </w:t>
      </w:r>
      <w:r w:rsidR="00FB3401" w:rsidRPr="005C088A">
        <w:rPr>
          <w:spacing w:val="-2"/>
          <w:sz w:val="22"/>
          <w:szCs w:val="22"/>
          <w:lang w:val="en-US"/>
        </w:rPr>
        <w:t>two-stroke main engine (about 350 bar(g)).</w:t>
      </w:r>
    </w:p>
    <w:p w14:paraId="3BA85EE5" w14:textId="77777777" w:rsidR="00514915" w:rsidRPr="00443642" w:rsidRDefault="00514915" w:rsidP="00BD0F79">
      <w:pPr>
        <w:pStyle w:val="Tekst"/>
        <w:ind w:firstLine="709"/>
        <w:rPr>
          <w:sz w:val="22"/>
          <w:szCs w:val="22"/>
          <w:lang w:val="en-US"/>
        </w:rPr>
      </w:pPr>
    </w:p>
    <w:p w14:paraId="394C2584" w14:textId="17B26903" w:rsidR="00100923" w:rsidRPr="00443642" w:rsidRDefault="00100923" w:rsidP="00100923">
      <w:pPr>
        <w:pStyle w:val="Tekst"/>
        <w:ind w:firstLine="0"/>
        <w:jc w:val="center"/>
        <w:rPr>
          <w:sz w:val="22"/>
          <w:szCs w:val="22"/>
          <w:lang w:val="en-US"/>
        </w:rPr>
      </w:pPr>
      <w:r w:rsidRPr="00443642">
        <w:rPr>
          <w:noProof/>
          <w:sz w:val="22"/>
          <w:szCs w:val="22"/>
          <w:lang w:val="en-US"/>
        </w:rPr>
        <w:drawing>
          <wp:inline distT="0" distB="0" distL="0" distR="0" wp14:anchorId="20BC0AE3" wp14:editId="4F87A853">
            <wp:extent cx="4393778" cy="2162175"/>
            <wp:effectExtent l="0" t="0" r="698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1131" cy="2180556"/>
                    </a:xfrm>
                    <a:prstGeom prst="rect">
                      <a:avLst/>
                    </a:prstGeom>
                    <a:noFill/>
                    <a:ln>
                      <a:noFill/>
                    </a:ln>
                  </pic:spPr>
                </pic:pic>
              </a:graphicData>
            </a:graphic>
          </wp:inline>
        </w:drawing>
      </w:r>
    </w:p>
    <w:p w14:paraId="26C4FD77" w14:textId="1DBBAD87" w:rsidR="00100923" w:rsidRPr="00443642" w:rsidRDefault="00100923" w:rsidP="00465621">
      <w:pPr>
        <w:pStyle w:val="Rrys"/>
        <w:rPr>
          <w:lang w:val="en-US"/>
        </w:rPr>
      </w:pPr>
      <w:r w:rsidRPr="00443642">
        <w:rPr>
          <w:b/>
          <w:lang w:val="en-US"/>
        </w:rPr>
        <w:t>Fig. 1.</w:t>
      </w:r>
      <w:r w:rsidRPr="00443642">
        <w:rPr>
          <w:lang w:val="en-US"/>
        </w:rPr>
        <w:t xml:space="preserve"> LNG fuel system </w:t>
      </w:r>
      <w:r w:rsidR="00FB3401" w:rsidRPr="00443642">
        <w:rPr>
          <w:lang w:val="en-US"/>
        </w:rPr>
        <w:t>–</w:t>
      </w:r>
      <w:r w:rsidRPr="00443642">
        <w:rPr>
          <w:lang w:val="en-US"/>
        </w:rPr>
        <w:t xml:space="preserve"> </w:t>
      </w:r>
      <w:r w:rsidR="00FB3401" w:rsidRPr="00443642">
        <w:rPr>
          <w:lang w:val="en-US"/>
        </w:rPr>
        <w:t>proposition of two systems with two different gas pressures</w:t>
      </w:r>
      <w:r w:rsidRPr="00443642">
        <w:rPr>
          <w:lang w:val="en-US"/>
        </w:rPr>
        <w:t xml:space="preserve"> (TGE 201</w:t>
      </w:r>
      <w:r w:rsidR="00FF326B" w:rsidRPr="00443642">
        <w:rPr>
          <w:lang w:val="en-US"/>
        </w:rPr>
        <w:t>9</w:t>
      </w:r>
      <w:r w:rsidRPr="00443642">
        <w:rPr>
          <w:lang w:val="en-US"/>
        </w:rPr>
        <w:t>)</w:t>
      </w:r>
    </w:p>
    <w:p w14:paraId="5225A42C" w14:textId="77777777" w:rsidR="004145CB" w:rsidRPr="00443642" w:rsidRDefault="004145CB" w:rsidP="008B762D">
      <w:pPr>
        <w:pStyle w:val="Tekst"/>
        <w:ind w:firstLine="709"/>
        <w:rPr>
          <w:sz w:val="22"/>
          <w:szCs w:val="22"/>
          <w:lang w:val="en-US"/>
        </w:rPr>
      </w:pPr>
    </w:p>
    <w:p w14:paraId="5B73AB7D" w14:textId="7E0CF526" w:rsidR="008B762D" w:rsidRPr="00443642" w:rsidRDefault="008B762D" w:rsidP="00AB79FA">
      <w:pPr>
        <w:pStyle w:val="Tekst"/>
        <w:ind w:firstLine="357"/>
        <w:rPr>
          <w:sz w:val="22"/>
          <w:szCs w:val="22"/>
          <w:lang w:val="en-US"/>
        </w:rPr>
      </w:pPr>
      <w:r w:rsidRPr="00443642">
        <w:rPr>
          <w:sz w:val="22"/>
          <w:szCs w:val="22"/>
          <w:lang w:val="en-US"/>
        </w:rPr>
        <w:t xml:space="preserve">Examples of shipbuilding with such systems have been indicated </w:t>
      </w:r>
      <w:r w:rsidR="00885812" w:rsidRPr="00443642">
        <w:rPr>
          <w:sz w:val="22"/>
          <w:szCs w:val="22"/>
          <w:lang w:val="en-US"/>
        </w:rPr>
        <w:t xml:space="preserve">in </w:t>
      </w:r>
      <w:r w:rsidRPr="00443642">
        <w:rPr>
          <w:sz w:val="22"/>
          <w:szCs w:val="22"/>
          <w:lang w:val="en-US"/>
        </w:rPr>
        <w:t>(TGE 2019</w:t>
      </w:r>
      <w:r w:rsidR="00B2492C" w:rsidRPr="00443642">
        <w:rPr>
          <w:sz w:val="22"/>
          <w:szCs w:val="22"/>
          <w:lang w:val="en-US"/>
        </w:rPr>
        <w:t>, IGC Code 2016</w:t>
      </w:r>
      <w:r w:rsidRPr="00443642">
        <w:rPr>
          <w:sz w:val="22"/>
          <w:szCs w:val="22"/>
          <w:lang w:val="en-US"/>
        </w:rPr>
        <w:t>).</w:t>
      </w:r>
    </w:p>
    <w:p w14:paraId="0521D4F6" w14:textId="17F219BA" w:rsidR="009B3AE2" w:rsidRPr="00443642" w:rsidRDefault="009B3AE2" w:rsidP="00AB79FA">
      <w:pPr>
        <w:pStyle w:val="Tekst"/>
        <w:ind w:firstLine="357"/>
        <w:rPr>
          <w:sz w:val="22"/>
          <w:szCs w:val="22"/>
          <w:lang w:val="en-US"/>
        </w:rPr>
      </w:pPr>
      <w:r w:rsidRPr="00443642">
        <w:rPr>
          <w:sz w:val="22"/>
          <w:szCs w:val="22"/>
          <w:lang w:val="en-US"/>
        </w:rPr>
        <w:t xml:space="preserve">It should be noted that “natural boil-off gas” </w:t>
      </w:r>
      <w:r w:rsidR="00A90EDD">
        <w:rPr>
          <w:sz w:val="22"/>
          <w:szCs w:val="22"/>
          <w:lang w:val="en-US"/>
        </w:rPr>
        <w:t>comes from the top of LNG tank and contains a higher amount of methane than the liquid from which it comes and they are fewer</w:t>
      </w:r>
      <w:r w:rsidR="00544221" w:rsidRPr="00443642">
        <w:rPr>
          <w:sz w:val="22"/>
          <w:szCs w:val="22"/>
          <w:lang w:val="en-US"/>
        </w:rPr>
        <w:t xml:space="preserve"> problems with the operation of compression ignition marine engines</w:t>
      </w:r>
      <w:r w:rsidRPr="00443642">
        <w:rPr>
          <w:sz w:val="22"/>
          <w:szCs w:val="22"/>
          <w:lang w:val="en-US"/>
        </w:rPr>
        <w:t>. On the other hand, the “forced boil-off gas” type is coming from deep down in the tank (a place of pump well) and should be well mixed before extraction to the evaporator (better homogeneity) to ensure constant gas quality supply</w:t>
      </w:r>
      <w:r w:rsidR="008F0167" w:rsidRPr="00443642">
        <w:rPr>
          <w:sz w:val="22"/>
          <w:szCs w:val="22"/>
          <w:lang w:val="en-US"/>
        </w:rPr>
        <w:t xml:space="preserve"> (</w:t>
      </w:r>
      <w:proofErr w:type="spellStart"/>
      <w:r w:rsidR="008F0167" w:rsidRPr="00443642">
        <w:rPr>
          <w:sz w:val="22"/>
          <w:szCs w:val="22"/>
          <w:lang w:val="en-US"/>
        </w:rPr>
        <w:t>Kuczyński</w:t>
      </w:r>
      <w:proofErr w:type="spellEnd"/>
      <w:r w:rsidR="008F0167" w:rsidRPr="00443642">
        <w:rPr>
          <w:sz w:val="22"/>
          <w:szCs w:val="22"/>
          <w:lang w:val="en-US"/>
        </w:rPr>
        <w:t xml:space="preserve"> et al</w:t>
      </w:r>
      <w:r w:rsidR="00064DE8">
        <w:rPr>
          <w:sz w:val="22"/>
          <w:szCs w:val="22"/>
          <w:lang w:val="en-US"/>
        </w:rPr>
        <w:t>.</w:t>
      </w:r>
      <w:r w:rsidR="008F0167" w:rsidRPr="00443642">
        <w:rPr>
          <w:sz w:val="22"/>
          <w:szCs w:val="22"/>
          <w:lang w:val="en-US"/>
        </w:rPr>
        <w:t xml:space="preserve"> 2020)</w:t>
      </w:r>
      <w:r w:rsidRPr="00443642">
        <w:rPr>
          <w:sz w:val="22"/>
          <w:szCs w:val="22"/>
          <w:lang w:val="en-US"/>
        </w:rPr>
        <w:t xml:space="preserve">. This </w:t>
      </w:r>
      <w:r w:rsidR="00A90EDD">
        <w:rPr>
          <w:sz w:val="22"/>
          <w:szCs w:val="22"/>
          <w:lang w:val="en-US"/>
        </w:rPr>
        <w:t>impacts</w:t>
      </w:r>
      <w:r w:rsidRPr="00443642">
        <w:rPr>
          <w:sz w:val="22"/>
          <w:szCs w:val="22"/>
          <w:lang w:val="en-US"/>
        </w:rPr>
        <w:t xml:space="preserve"> </w:t>
      </w:r>
      <w:r w:rsidR="00BB6579" w:rsidRPr="00443642">
        <w:rPr>
          <w:sz w:val="22"/>
          <w:szCs w:val="22"/>
          <w:lang w:val="en-US"/>
        </w:rPr>
        <w:t xml:space="preserve">knocking stability during </w:t>
      </w:r>
      <w:r w:rsidR="00A90EDD">
        <w:rPr>
          <w:sz w:val="22"/>
          <w:szCs w:val="22"/>
          <w:lang w:val="en-US"/>
        </w:rPr>
        <w:t xml:space="preserve">the </w:t>
      </w:r>
      <w:r w:rsidR="00BB6579" w:rsidRPr="00443642">
        <w:rPr>
          <w:sz w:val="22"/>
          <w:szCs w:val="22"/>
          <w:lang w:val="en-US"/>
        </w:rPr>
        <w:t xml:space="preserve">natural gas burning process and </w:t>
      </w:r>
      <w:r w:rsidR="00A90EDD">
        <w:rPr>
          <w:sz w:val="22"/>
          <w:szCs w:val="22"/>
          <w:lang w:val="en-US"/>
        </w:rPr>
        <w:t xml:space="preserve">the </w:t>
      </w:r>
      <w:r w:rsidR="00BB6579" w:rsidRPr="00443642">
        <w:rPr>
          <w:sz w:val="22"/>
          <w:szCs w:val="22"/>
          <w:lang w:val="en-US"/>
        </w:rPr>
        <w:t>risk of possible methane slip</w:t>
      </w:r>
      <w:r w:rsidR="00A90EDD">
        <w:rPr>
          <w:sz w:val="22"/>
          <w:szCs w:val="22"/>
          <w:lang w:val="en-US"/>
        </w:rPr>
        <w:t>ping</w:t>
      </w:r>
      <w:r w:rsidR="00BB6579" w:rsidRPr="00443642">
        <w:rPr>
          <w:sz w:val="22"/>
          <w:szCs w:val="22"/>
          <w:lang w:val="en-US"/>
        </w:rPr>
        <w:t xml:space="preserve"> </w:t>
      </w:r>
      <w:r w:rsidR="00A90EDD">
        <w:rPr>
          <w:sz w:val="22"/>
          <w:szCs w:val="22"/>
          <w:lang w:val="en-US"/>
        </w:rPr>
        <w:t>in</w:t>
      </w:r>
      <w:r w:rsidR="00BB6579" w:rsidRPr="00443642">
        <w:rPr>
          <w:sz w:val="22"/>
          <w:szCs w:val="22"/>
          <w:lang w:val="en-US"/>
        </w:rPr>
        <w:t>to the atmosphere due to misfire</w:t>
      </w:r>
      <w:r w:rsidR="00EB40F2" w:rsidRPr="00443642">
        <w:rPr>
          <w:sz w:val="22"/>
          <w:szCs w:val="22"/>
          <w:lang w:val="en-US"/>
        </w:rPr>
        <w:t xml:space="preserve"> (</w:t>
      </w:r>
      <w:proofErr w:type="spellStart"/>
      <w:r w:rsidR="00EB40F2" w:rsidRPr="00443642">
        <w:rPr>
          <w:sz w:val="22"/>
          <w:szCs w:val="22"/>
          <w:lang w:val="en-US"/>
        </w:rPr>
        <w:t>Herdzik</w:t>
      </w:r>
      <w:proofErr w:type="spellEnd"/>
      <w:r w:rsidR="00EB40F2" w:rsidRPr="00443642">
        <w:rPr>
          <w:sz w:val="22"/>
          <w:szCs w:val="22"/>
          <w:lang w:val="en-US"/>
        </w:rPr>
        <w:t xml:space="preserve"> 2018b)</w:t>
      </w:r>
      <w:r w:rsidR="00BB6579" w:rsidRPr="00443642">
        <w:rPr>
          <w:sz w:val="22"/>
          <w:szCs w:val="22"/>
          <w:lang w:val="en-US"/>
        </w:rPr>
        <w:t>.</w:t>
      </w:r>
    </w:p>
    <w:p w14:paraId="27BAAC5F" w14:textId="13352827" w:rsidR="00C04859" w:rsidRPr="00443642" w:rsidRDefault="00D46D0A" w:rsidP="00AB79FA">
      <w:pPr>
        <w:pStyle w:val="Tekst"/>
        <w:ind w:firstLine="357"/>
        <w:rPr>
          <w:sz w:val="22"/>
          <w:szCs w:val="22"/>
          <w:lang w:val="en-US"/>
        </w:rPr>
      </w:pPr>
      <w:r w:rsidRPr="00443642">
        <w:rPr>
          <w:sz w:val="22"/>
          <w:szCs w:val="22"/>
          <w:lang w:val="en-US"/>
        </w:rPr>
        <w:lastRenderedPageBreak/>
        <w:t>There are two basic system</w:t>
      </w:r>
      <w:r w:rsidR="00A90EDD">
        <w:rPr>
          <w:sz w:val="22"/>
          <w:szCs w:val="22"/>
          <w:lang w:val="en-US"/>
        </w:rPr>
        <w:t>s</w:t>
      </w:r>
      <w:r w:rsidRPr="00443642">
        <w:rPr>
          <w:sz w:val="22"/>
          <w:szCs w:val="22"/>
          <w:lang w:val="en-US"/>
        </w:rPr>
        <w:t xml:space="preserve"> for feeding methane as a gaseous fuel to di</w:t>
      </w:r>
      <w:r w:rsidR="00C04859" w:rsidRPr="00443642">
        <w:rPr>
          <w:sz w:val="22"/>
          <w:szCs w:val="22"/>
          <w:lang w:val="en-US"/>
        </w:rPr>
        <w:t>e</w:t>
      </w:r>
      <w:r w:rsidRPr="00443642">
        <w:rPr>
          <w:sz w:val="22"/>
          <w:szCs w:val="22"/>
          <w:lang w:val="en-US"/>
        </w:rPr>
        <w:t xml:space="preserve">sel engines: </w:t>
      </w:r>
      <w:r w:rsidR="00C04859" w:rsidRPr="00443642">
        <w:rPr>
          <w:sz w:val="22"/>
          <w:szCs w:val="22"/>
          <w:lang w:val="en-US"/>
        </w:rPr>
        <w:t xml:space="preserve">high-pressure injection into the combustion chamber at the end of </w:t>
      </w:r>
      <w:r w:rsidR="00A90EDD">
        <w:rPr>
          <w:sz w:val="22"/>
          <w:szCs w:val="22"/>
          <w:lang w:val="en-US"/>
        </w:rPr>
        <w:t xml:space="preserve">the </w:t>
      </w:r>
      <w:r w:rsidR="00C04859" w:rsidRPr="00443642">
        <w:rPr>
          <w:sz w:val="22"/>
          <w:szCs w:val="22"/>
          <w:lang w:val="en-US"/>
        </w:rPr>
        <w:t xml:space="preserve">compression stroke </w:t>
      </w:r>
      <w:r w:rsidR="00264BFB" w:rsidRPr="00443642">
        <w:rPr>
          <w:sz w:val="22"/>
          <w:szCs w:val="22"/>
          <w:lang w:val="en-US"/>
        </w:rPr>
        <w:t xml:space="preserve">(Diesel cycle) or low-pressure (Otto cycle) </w:t>
      </w:r>
      <w:r w:rsidR="00C04859" w:rsidRPr="00443642">
        <w:rPr>
          <w:sz w:val="22"/>
          <w:szCs w:val="22"/>
          <w:lang w:val="en-US"/>
        </w:rPr>
        <w:t xml:space="preserve">and low-pressure injection into the intake manifold in the suction stroke. The first </w:t>
      </w:r>
      <w:r w:rsidR="00C770F9" w:rsidRPr="00443642">
        <w:rPr>
          <w:sz w:val="22"/>
          <w:szCs w:val="22"/>
          <w:lang w:val="en-US"/>
        </w:rPr>
        <w:t>two options are</w:t>
      </w:r>
      <w:r w:rsidR="00C04859" w:rsidRPr="00443642">
        <w:rPr>
          <w:sz w:val="22"/>
          <w:szCs w:val="22"/>
          <w:lang w:val="en-US"/>
        </w:rPr>
        <w:t xml:space="preserve"> preferred for two-stroke engines</w:t>
      </w:r>
      <w:r w:rsidR="00BB6579" w:rsidRPr="00443642">
        <w:rPr>
          <w:sz w:val="22"/>
          <w:szCs w:val="22"/>
          <w:lang w:val="en-US"/>
        </w:rPr>
        <w:t xml:space="preserve"> (ME-GI engines)</w:t>
      </w:r>
      <w:r w:rsidR="00C04859" w:rsidRPr="00443642">
        <w:rPr>
          <w:sz w:val="22"/>
          <w:szCs w:val="22"/>
          <w:lang w:val="en-US"/>
        </w:rPr>
        <w:t xml:space="preserve">, </w:t>
      </w:r>
      <w:r w:rsidR="00A90EDD">
        <w:rPr>
          <w:sz w:val="22"/>
          <w:szCs w:val="22"/>
          <w:lang w:val="en-US"/>
        </w:rPr>
        <w:t xml:space="preserve">and </w:t>
      </w:r>
      <w:r w:rsidR="00C04859" w:rsidRPr="00443642">
        <w:rPr>
          <w:sz w:val="22"/>
          <w:szCs w:val="22"/>
          <w:lang w:val="en-US"/>
        </w:rPr>
        <w:t xml:space="preserve">the </w:t>
      </w:r>
      <w:r w:rsidR="00264BFB" w:rsidRPr="00443642">
        <w:rPr>
          <w:sz w:val="22"/>
          <w:szCs w:val="22"/>
          <w:lang w:val="en-US"/>
        </w:rPr>
        <w:t>third</w:t>
      </w:r>
      <w:r w:rsidR="00C04859" w:rsidRPr="00443642">
        <w:rPr>
          <w:sz w:val="22"/>
          <w:szCs w:val="22"/>
          <w:lang w:val="en-US"/>
        </w:rPr>
        <w:t xml:space="preserve"> for </w:t>
      </w:r>
      <w:r w:rsidR="00B56148" w:rsidRPr="00443642">
        <w:rPr>
          <w:sz w:val="22"/>
          <w:szCs w:val="22"/>
          <w:lang w:val="en-US"/>
        </w:rPr>
        <w:t xml:space="preserve">smaller </w:t>
      </w:r>
      <w:r w:rsidR="00C04859" w:rsidRPr="00443642">
        <w:rPr>
          <w:sz w:val="22"/>
          <w:szCs w:val="22"/>
          <w:lang w:val="en-US"/>
        </w:rPr>
        <w:t>four-stroke engines</w:t>
      </w:r>
      <w:r w:rsidR="00B56148" w:rsidRPr="00443642">
        <w:rPr>
          <w:sz w:val="22"/>
          <w:szCs w:val="22"/>
          <w:lang w:val="en-US"/>
        </w:rPr>
        <w:t xml:space="preserve"> with a spark-ignition (</w:t>
      </w:r>
      <w:r w:rsidR="00147719" w:rsidRPr="00443642">
        <w:rPr>
          <w:sz w:val="22"/>
          <w:szCs w:val="22"/>
          <w:lang w:val="en-US"/>
        </w:rPr>
        <w:t xml:space="preserve">LBSI, </w:t>
      </w:r>
      <w:r w:rsidR="00B56148" w:rsidRPr="00443642">
        <w:rPr>
          <w:sz w:val="22"/>
          <w:szCs w:val="22"/>
          <w:lang w:val="en-US"/>
        </w:rPr>
        <w:t>gas only) type</w:t>
      </w:r>
      <w:r w:rsidR="00C04859" w:rsidRPr="00443642">
        <w:rPr>
          <w:sz w:val="22"/>
          <w:szCs w:val="22"/>
          <w:lang w:val="en-US"/>
        </w:rPr>
        <w:t>.</w:t>
      </w:r>
      <w:r w:rsidR="00B56148" w:rsidRPr="005C088A">
        <w:rPr>
          <w:spacing w:val="-2"/>
          <w:sz w:val="22"/>
          <w:szCs w:val="22"/>
          <w:lang w:val="en-US"/>
        </w:rPr>
        <w:t xml:space="preserve"> </w:t>
      </w:r>
      <w:r w:rsidR="00095D53" w:rsidRPr="005C088A">
        <w:rPr>
          <w:spacing w:val="-2"/>
          <w:sz w:val="22"/>
          <w:szCs w:val="22"/>
          <w:lang w:val="en-US"/>
        </w:rPr>
        <w:t xml:space="preserve">For engine manufacturers, the target </w:t>
      </w:r>
      <w:r w:rsidR="00B56148" w:rsidRPr="005C088A">
        <w:rPr>
          <w:spacing w:val="-2"/>
          <w:sz w:val="22"/>
          <w:szCs w:val="22"/>
          <w:lang w:val="en-US"/>
        </w:rPr>
        <w:t xml:space="preserve">is to </w:t>
      </w:r>
      <w:proofErr w:type="spellStart"/>
      <w:r w:rsidR="00B56148" w:rsidRPr="005C088A">
        <w:rPr>
          <w:spacing w:val="-2"/>
          <w:sz w:val="22"/>
          <w:szCs w:val="22"/>
          <w:lang w:val="en-US"/>
        </w:rPr>
        <w:t>minimi</w:t>
      </w:r>
      <w:r w:rsidR="00A90EDD" w:rsidRPr="005C088A">
        <w:rPr>
          <w:spacing w:val="-2"/>
          <w:sz w:val="22"/>
          <w:szCs w:val="22"/>
          <w:lang w:val="en-US"/>
        </w:rPr>
        <w:t>s</w:t>
      </w:r>
      <w:r w:rsidR="00B56148" w:rsidRPr="005C088A">
        <w:rPr>
          <w:spacing w:val="-2"/>
          <w:sz w:val="22"/>
          <w:szCs w:val="22"/>
          <w:lang w:val="en-US"/>
        </w:rPr>
        <w:t>e</w:t>
      </w:r>
      <w:proofErr w:type="spellEnd"/>
      <w:r w:rsidR="00B56148" w:rsidRPr="005C088A">
        <w:rPr>
          <w:spacing w:val="-2"/>
          <w:sz w:val="22"/>
          <w:szCs w:val="22"/>
          <w:lang w:val="en-US"/>
        </w:rPr>
        <w:t xml:space="preserve"> the methane slip </w:t>
      </w:r>
      <w:r w:rsidR="00455286" w:rsidRPr="005C088A">
        <w:rPr>
          <w:spacing w:val="-2"/>
          <w:sz w:val="22"/>
          <w:szCs w:val="22"/>
          <w:lang w:val="en-US"/>
        </w:rPr>
        <w:t xml:space="preserve">(only from the engines during </w:t>
      </w:r>
      <w:r w:rsidR="00A90EDD" w:rsidRPr="005C088A">
        <w:rPr>
          <w:spacing w:val="-2"/>
          <w:sz w:val="22"/>
          <w:szCs w:val="22"/>
          <w:lang w:val="en-US"/>
        </w:rPr>
        <w:t xml:space="preserve">the </w:t>
      </w:r>
      <w:r w:rsidR="00455286" w:rsidRPr="005C088A">
        <w:rPr>
          <w:spacing w:val="-2"/>
          <w:sz w:val="22"/>
          <w:szCs w:val="22"/>
          <w:lang w:val="en-US"/>
        </w:rPr>
        <w:t xml:space="preserve">combustion process) </w:t>
      </w:r>
      <w:r w:rsidR="00B56148" w:rsidRPr="005C088A">
        <w:rPr>
          <w:spacing w:val="-2"/>
          <w:sz w:val="22"/>
          <w:szCs w:val="22"/>
          <w:lang w:val="en-US"/>
        </w:rPr>
        <w:t xml:space="preserve">from 1-2 g/kWh </w:t>
      </w:r>
      <w:r w:rsidR="00A03BC2" w:rsidRPr="005C088A">
        <w:rPr>
          <w:spacing w:val="-2"/>
          <w:sz w:val="22"/>
          <w:szCs w:val="22"/>
          <w:lang w:val="en-US"/>
        </w:rPr>
        <w:t xml:space="preserve">(current state) </w:t>
      </w:r>
      <w:r w:rsidR="00B56148" w:rsidRPr="005C088A">
        <w:rPr>
          <w:spacing w:val="-2"/>
          <w:sz w:val="22"/>
          <w:szCs w:val="22"/>
          <w:lang w:val="en-US"/>
        </w:rPr>
        <w:t xml:space="preserve">to a level </w:t>
      </w:r>
      <w:r w:rsidR="00A90EDD" w:rsidRPr="005C088A">
        <w:rPr>
          <w:spacing w:val="-2"/>
          <w:sz w:val="22"/>
          <w:szCs w:val="22"/>
          <w:lang w:val="en-US"/>
        </w:rPr>
        <w:t xml:space="preserve">of </w:t>
      </w:r>
      <w:r w:rsidR="00B56148" w:rsidRPr="005C088A">
        <w:rPr>
          <w:spacing w:val="-2"/>
          <w:sz w:val="22"/>
          <w:szCs w:val="22"/>
          <w:lang w:val="en-US"/>
        </w:rPr>
        <w:t>0.2-0.3</w:t>
      </w:r>
      <w:r w:rsidR="00A90EDD" w:rsidRPr="005C088A">
        <w:rPr>
          <w:spacing w:val="-2"/>
          <w:sz w:val="22"/>
          <w:szCs w:val="22"/>
          <w:lang w:val="en-US"/>
        </w:rPr>
        <w:t> </w:t>
      </w:r>
      <w:r w:rsidR="00B56148" w:rsidRPr="005C088A">
        <w:rPr>
          <w:spacing w:val="-2"/>
          <w:sz w:val="22"/>
          <w:szCs w:val="22"/>
          <w:lang w:val="en-US"/>
        </w:rPr>
        <w:t>g/kWh.</w:t>
      </w:r>
    </w:p>
    <w:p w14:paraId="1E9ADEAE" w14:textId="51157A60" w:rsidR="00E615AA" w:rsidRPr="00443642" w:rsidRDefault="00E615AA" w:rsidP="005C088A">
      <w:pPr>
        <w:pStyle w:val="Rn1"/>
        <w:jc w:val="left"/>
      </w:pPr>
      <w:r w:rsidRPr="00443642">
        <w:t xml:space="preserve">3. </w:t>
      </w:r>
      <w:proofErr w:type="spellStart"/>
      <w:r w:rsidRPr="00443642">
        <w:t>Fuel</w:t>
      </w:r>
      <w:proofErr w:type="spellEnd"/>
      <w:r w:rsidRPr="00443642">
        <w:t xml:space="preserve"> </w:t>
      </w:r>
      <w:proofErr w:type="spellStart"/>
      <w:r w:rsidRPr="00443642">
        <w:t>consumption</w:t>
      </w:r>
      <w:proofErr w:type="spellEnd"/>
      <w:r w:rsidRPr="00443642">
        <w:t xml:space="preserve"> by </w:t>
      </w:r>
      <w:proofErr w:type="spellStart"/>
      <w:r w:rsidRPr="00443642">
        <w:t>marine</w:t>
      </w:r>
      <w:proofErr w:type="spellEnd"/>
      <w:r w:rsidRPr="00443642">
        <w:t xml:space="preserve"> diesel </w:t>
      </w:r>
      <w:proofErr w:type="spellStart"/>
      <w:r w:rsidRPr="00443642">
        <w:t>engines</w:t>
      </w:r>
      <w:proofErr w:type="spellEnd"/>
      <w:r w:rsidRPr="00443642">
        <w:t xml:space="preserve"> and </w:t>
      </w:r>
      <w:proofErr w:type="spellStart"/>
      <w:r w:rsidRPr="00443642">
        <w:t>carbon</w:t>
      </w:r>
      <w:proofErr w:type="spellEnd"/>
      <w:r w:rsidRPr="00443642">
        <w:t xml:space="preserve"> </w:t>
      </w:r>
      <w:proofErr w:type="spellStart"/>
      <w:r w:rsidRPr="00443642">
        <w:t>dioxide</w:t>
      </w:r>
      <w:proofErr w:type="spellEnd"/>
      <w:r w:rsidRPr="00443642">
        <w:t xml:space="preserve"> </w:t>
      </w:r>
      <w:proofErr w:type="spellStart"/>
      <w:r w:rsidRPr="00443642">
        <w:t>emission</w:t>
      </w:r>
      <w:proofErr w:type="spellEnd"/>
      <w:r w:rsidRPr="00443642">
        <w:t xml:space="preserve"> from </w:t>
      </w:r>
      <w:proofErr w:type="spellStart"/>
      <w:r w:rsidRPr="00443642">
        <w:t>different</w:t>
      </w:r>
      <w:proofErr w:type="spellEnd"/>
      <w:r w:rsidRPr="00443642">
        <w:t xml:space="preserve"> </w:t>
      </w:r>
      <w:proofErr w:type="spellStart"/>
      <w:r w:rsidRPr="00443642">
        <w:t>types</w:t>
      </w:r>
      <w:proofErr w:type="spellEnd"/>
      <w:r w:rsidRPr="00443642">
        <w:t xml:space="preserve"> of </w:t>
      </w:r>
      <w:proofErr w:type="spellStart"/>
      <w:r w:rsidRPr="00443642">
        <w:t>marine</w:t>
      </w:r>
      <w:proofErr w:type="spellEnd"/>
      <w:r w:rsidRPr="00443642">
        <w:t xml:space="preserve"> </w:t>
      </w:r>
      <w:proofErr w:type="spellStart"/>
      <w:r w:rsidRPr="00443642">
        <w:t>fuels</w:t>
      </w:r>
      <w:proofErr w:type="spellEnd"/>
      <w:r w:rsidRPr="00443642">
        <w:t xml:space="preserve"> in 2000-2050</w:t>
      </w:r>
    </w:p>
    <w:p w14:paraId="3B8F9839" w14:textId="7DF2F859" w:rsidR="007C1986" w:rsidRPr="00443642" w:rsidRDefault="001E28C6" w:rsidP="004145CB">
      <w:pPr>
        <w:pStyle w:val="Tekst"/>
        <w:ind w:firstLine="0"/>
        <w:rPr>
          <w:sz w:val="22"/>
          <w:szCs w:val="22"/>
          <w:lang w:val="en-US"/>
        </w:rPr>
      </w:pPr>
      <w:r w:rsidRPr="00443642">
        <w:rPr>
          <w:sz w:val="22"/>
          <w:szCs w:val="22"/>
          <w:lang w:val="en-US"/>
        </w:rPr>
        <w:t xml:space="preserve">The highest fuel consumption occurs in marine main propulsion engines due to </w:t>
      </w:r>
      <w:r w:rsidR="00A90EDD">
        <w:rPr>
          <w:sz w:val="22"/>
          <w:szCs w:val="22"/>
          <w:lang w:val="en-US"/>
        </w:rPr>
        <w:t xml:space="preserve">the </w:t>
      </w:r>
      <w:r w:rsidRPr="00443642">
        <w:rPr>
          <w:sz w:val="22"/>
          <w:szCs w:val="22"/>
          <w:lang w:val="en-US"/>
        </w:rPr>
        <w:t xml:space="preserve">demand for mechanical energy to drive the ship in an amount constituting </w:t>
      </w:r>
      <w:r w:rsidR="00064DE8">
        <w:rPr>
          <w:sz w:val="22"/>
          <w:szCs w:val="22"/>
          <w:lang w:val="en-US"/>
        </w:rPr>
        <w:br/>
      </w:r>
      <w:r w:rsidRPr="00443642">
        <w:rPr>
          <w:sz w:val="22"/>
          <w:szCs w:val="22"/>
          <w:lang w:val="en-US"/>
        </w:rPr>
        <w:t xml:space="preserve">70-90% of the total (the others </w:t>
      </w:r>
      <w:r w:rsidR="00A90EDD">
        <w:rPr>
          <w:sz w:val="22"/>
          <w:szCs w:val="22"/>
          <w:lang w:val="en-US"/>
        </w:rPr>
        <w:t>are</w:t>
      </w:r>
      <w:r w:rsidRPr="00443642">
        <w:rPr>
          <w:sz w:val="22"/>
          <w:szCs w:val="22"/>
          <w:lang w:val="en-US"/>
        </w:rPr>
        <w:t xml:space="preserve"> electricity and heat). </w:t>
      </w:r>
      <w:r w:rsidR="00EA394F" w:rsidRPr="00443642">
        <w:rPr>
          <w:sz w:val="22"/>
          <w:szCs w:val="22"/>
          <w:lang w:val="en-US"/>
        </w:rPr>
        <w:t>In the process of burning hydrocarbon fuels (</w:t>
      </w:r>
      <w:r w:rsidR="00A90EDD">
        <w:rPr>
          <w:sz w:val="22"/>
          <w:szCs w:val="22"/>
          <w:lang w:val="en-US"/>
        </w:rPr>
        <w:t>heavy marine</w:t>
      </w:r>
      <w:r w:rsidR="00EA394F" w:rsidRPr="00443642">
        <w:rPr>
          <w:sz w:val="22"/>
          <w:szCs w:val="22"/>
          <w:lang w:val="en-US"/>
        </w:rPr>
        <w:t xml:space="preserve"> fuels, marine diesel fuels etc.), about 3.12 tons of carbon dioxide are emitted from a ton of burned fuel (fuel coefficient </w:t>
      </w:r>
      <w:proofErr w:type="spellStart"/>
      <w:r w:rsidR="00EA394F" w:rsidRPr="00443642">
        <w:rPr>
          <w:sz w:val="22"/>
          <w:szCs w:val="22"/>
          <w:lang w:val="en-US"/>
        </w:rPr>
        <w:t>c</w:t>
      </w:r>
      <w:r w:rsidR="00EA394F" w:rsidRPr="00443642">
        <w:rPr>
          <w:sz w:val="22"/>
          <w:szCs w:val="22"/>
          <w:vertAlign w:val="subscript"/>
          <w:lang w:val="en-US"/>
        </w:rPr>
        <w:t>F</w:t>
      </w:r>
      <w:proofErr w:type="spellEnd"/>
      <w:r w:rsidR="00EA394F" w:rsidRPr="00443642">
        <w:rPr>
          <w:sz w:val="22"/>
          <w:szCs w:val="22"/>
          <w:lang w:val="en-US"/>
        </w:rPr>
        <w:t xml:space="preserve"> is about 3.12). </w:t>
      </w:r>
      <w:r w:rsidR="007C1986" w:rsidRPr="00443642">
        <w:rPr>
          <w:sz w:val="22"/>
          <w:szCs w:val="22"/>
          <w:lang w:val="en-US"/>
        </w:rPr>
        <w:t xml:space="preserve">Between 1990 and 2020, the weight of goods transported by sea tripled and continues to increase. </w:t>
      </w:r>
      <w:r w:rsidR="00A90EDD">
        <w:rPr>
          <w:sz w:val="22"/>
          <w:szCs w:val="22"/>
          <w:lang w:val="en-US"/>
        </w:rPr>
        <w:t>As a result, c</w:t>
      </w:r>
      <w:r w:rsidR="00EA394F" w:rsidRPr="00443642">
        <w:rPr>
          <w:sz w:val="22"/>
          <w:szCs w:val="22"/>
          <w:lang w:val="en-US"/>
        </w:rPr>
        <w:t xml:space="preserve">arbon dioxide emissions from maritime transport account </w:t>
      </w:r>
      <w:r w:rsidR="00A90EDD">
        <w:rPr>
          <w:sz w:val="22"/>
          <w:szCs w:val="22"/>
          <w:lang w:val="en-US"/>
        </w:rPr>
        <w:t xml:space="preserve">for </w:t>
      </w:r>
      <w:r w:rsidR="00EA394F" w:rsidRPr="00443642">
        <w:rPr>
          <w:sz w:val="22"/>
          <w:szCs w:val="22"/>
          <w:lang w:val="en-US"/>
        </w:rPr>
        <w:t>2.5-3% of total global emissions. For example, in 2021</w:t>
      </w:r>
      <w:r w:rsidR="00A90EDD">
        <w:rPr>
          <w:sz w:val="22"/>
          <w:szCs w:val="22"/>
          <w:lang w:val="en-US"/>
        </w:rPr>
        <w:t>,</w:t>
      </w:r>
      <w:r w:rsidR="00EA394F" w:rsidRPr="00443642">
        <w:rPr>
          <w:sz w:val="22"/>
          <w:szCs w:val="22"/>
          <w:lang w:val="en-US"/>
        </w:rPr>
        <w:t xml:space="preserve"> it was 0.92 Gt, which accounted </w:t>
      </w:r>
      <w:r w:rsidR="00A90EDD">
        <w:rPr>
          <w:sz w:val="22"/>
          <w:szCs w:val="22"/>
          <w:lang w:val="en-US"/>
        </w:rPr>
        <w:t xml:space="preserve">for </w:t>
      </w:r>
      <w:r w:rsidR="00EA394F" w:rsidRPr="00443642">
        <w:rPr>
          <w:sz w:val="22"/>
          <w:szCs w:val="22"/>
          <w:lang w:val="en-US"/>
        </w:rPr>
        <w:t>2.4% of 38.4 Gt</w:t>
      </w:r>
      <w:r w:rsidR="008D14F5" w:rsidRPr="00443642">
        <w:rPr>
          <w:sz w:val="22"/>
          <w:szCs w:val="22"/>
          <w:lang w:val="en-US"/>
        </w:rPr>
        <w:t xml:space="preserve"> worl</w:t>
      </w:r>
      <w:r w:rsidR="00C75AC6" w:rsidRPr="00443642">
        <w:rPr>
          <w:sz w:val="22"/>
          <w:szCs w:val="22"/>
          <w:lang w:val="en-US"/>
        </w:rPr>
        <w:t>d</w:t>
      </w:r>
      <w:r w:rsidR="008D14F5" w:rsidRPr="00443642">
        <w:rPr>
          <w:sz w:val="22"/>
          <w:szCs w:val="22"/>
          <w:lang w:val="en-US"/>
        </w:rPr>
        <w:t>wide</w:t>
      </w:r>
      <w:r w:rsidR="00EA394F" w:rsidRPr="00443642">
        <w:rPr>
          <w:sz w:val="22"/>
          <w:szCs w:val="22"/>
          <w:lang w:val="en-US"/>
        </w:rPr>
        <w:t>.</w:t>
      </w:r>
    </w:p>
    <w:p w14:paraId="78FCD24B" w14:textId="6C817A0E" w:rsidR="001E28C6" w:rsidRPr="00443642" w:rsidRDefault="00E502F1" w:rsidP="00AB79FA">
      <w:pPr>
        <w:pStyle w:val="Tekst"/>
        <w:ind w:firstLine="357"/>
        <w:rPr>
          <w:sz w:val="22"/>
          <w:szCs w:val="22"/>
          <w:lang w:val="en-US"/>
        </w:rPr>
      </w:pPr>
      <w:r w:rsidRPr="00443642">
        <w:rPr>
          <w:sz w:val="22"/>
          <w:szCs w:val="22"/>
          <w:lang w:val="en-US"/>
        </w:rPr>
        <w:t xml:space="preserve">In ocean shipping, slow-speed two-stroke engines are most often used to drive a ship. These are currently engines with the highest thermal efficiency </w:t>
      </w:r>
      <w:r w:rsidR="00064DE8">
        <w:rPr>
          <w:sz w:val="22"/>
          <w:szCs w:val="22"/>
          <w:lang w:val="en-US"/>
        </w:rPr>
        <w:br/>
      </w:r>
      <w:r w:rsidRPr="00443642">
        <w:rPr>
          <w:sz w:val="22"/>
          <w:szCs w:val="22"/>
          <w:lang w:val="en-US"/>
        </w:rPr>
        <w:t>(48-51%), operating on the cheapest fuels in gearless drive systems with fixed-pitch propellers</w:t>
      </w:r>
      <w:r w:rsidR="002F43C8" w:rsidRPr="00443642">
        <w:rPr>
          <w:sz w:val="22"/>
          <w:szCs w:val="22"/>
          <w:lang w:val="en-US"/>
        </w:rPr>
        <w:t>, ensuring the highest value of the so-called total propulsion efficiency. This makes it possible to achieve the lowest CO</w:t>
      </w:r>
      <w:r w:rsidR="002F43C8" w:rsidRPr="00443642">
        <w:rPr>
          <w:sz w:val="22"/>
          <w:szCs w:val="22"/>
          <w:vertAlign w:val="subscript"/>
          <w:lang w:val="en-US"/>
        </w:rPr>
        <w:t>2</w:t>
      </w:r>
      <w:r w:rsidR="002F43C8" w:rsidRPr="00443642">
        <w:rPr>
          <w:sz w:val="22"/>
          <w:szCs w:val="22"/>
          <w:lang w:val="en-US"/>
        </w:rPr>
        <w:t xml:space="preserve"> emissions per transport effect [g CO</w:t>
      </w:r>
      <w:r w:rsidR="002F43C8" w:rsidRPr="00443642">
        <w:rPr>
          <w:sz w:val="22"/>
          <w:szCs w:val="22"/>
          <w:vertAlign w:val="subscript"/>
          <w:lang w:val="en-US"/>
        </w:rPr>
        <w:t>2</w:t>
      </w:r>
      <w:r w:rsidR="002F43C8" w:rsidRPr="00443642">
        <w:rPr>
          <w:sz w:val="22"/>
          <w:szCs w:val="22"/>
          <w:lang w:val="en-US"/>
        </w:rPr>
        <w:t>/ton</w:t>
      </w:r>
      <w:r w:rsidR="002D3ADC" w:rsidRPr="00443642">
        <w:rPr>
          <w:sz w:val="22"/>
          <w:szCs w:val="22"/>
          <w:lang w:val="en-US"/>
        </w:rPr>
        <w:t xml:space="preserve"> ∙ </w:t>
      </w:r>
      <w:r w:rsidR="002F43C8" w:rsidRPr="00443642">
        <w:rPr>
          <w:sz w:val="22"/>
          <w:szCs w:val="22"/>
          <w:lang w:val="en-US"/>
        </w:rPr>
        <w:t>nautical</w:t>
      </w:r>
      <w:r w:rsidR="00A90EDD">
        <w:rPr>
          <w:sz w:val="22"/>
          <w:szCs w:val="22"/>
          <w:lang w:val="en-US"/>
        </w:rPr>
        <w:t xml:space="preserve"> </w:t>
      </w:r>
      <w:r w:rsidR="002F43C8" w:rsidRPr="00443642">
        <w:rPr>
          <w:sz w:val="22"/>
          <w:szCs w:val="22"/>
          <w:lang w:val="en-US"/>
        </w:rPr>
        <w:t>mile].</w:t>
      </w:r>
    </w:p>
    <w:p w14:paraId="46C2616C" w14:textId="776FFC64" w:rsidR="00DF5778" w:rsidRPr="00443642" w:rsidRDefault="00DF5778" w:rsidP="00AB79FA">
      <w:pPr>
        <w:pStyle w:val="Tekst"/>
        <w:ind w:firstLine="357"/>
        <w:rPr>
          <w:sz w:val="22"/>
          <w:szCs w:val="22"/>
          <w:lang w:val="en-US"/>
        </w:rPr>
      </w:pPr>
      <w:r w:rsidRPr="00443642">
        <w:rPr>
          <w:sz w:val="22"/>
          <w:szCs w:val="22"/>
          <w:lang w:val="en-US"/>
        </w:rPr>
        <w:t>Typical emission level from the two-stroke marine diesel engines before introducing the limitations in 2000, 2020 and later as prognosis has been presented in Tab</w:t>
      </w:r>
      <w:r w:rsidR="002D3ADC" w:rsidRPr="00443642">
        <w:rPr>
          <w:sz w:val="22"/>
          <w:szCs w:val="22"/>
          <w:lang w:val="en-US"/>
        </w:rPr>
        <w:t xml:space="preserve">le </w:t>
      </w:r>
      <w:r w:rsidRPr="00443642">
        <w:rPr>
          <w:sz w:val="22"/>
          <w:szCs w:val="22"/>
          <w:lang w:val="en-US"/>
        </w:rPr>
        <w:t>1</w:t>
      </w:r>
      <w:r w:rsidR="00C75AC6" w:rsidRPr="00443642">
        <w:rPr>
          <w:sz w:val="22"/>
          <w:szCs w:val="22"/>
          <w:lang w:val="en-US"/>
        </w:rPr>
        <w:t xml:space="preserve"> (MAN 2013, IMO 2018).</w:t>
      </w:r>
    </w:p>
    <w:p w14:paraId="00C8B7E5" w14:textId="77777777" w:rsidR="00514915" w:rsidRPr="00443642" w:rsidRDefault="00514915" w:rsidP="00AB79FA">
      <w:pPr>
        <w:pStyle w:val="Tekst"/>
        <w:ind w:firstLine="357"/>
        <w:rPr>
          <w:sz w:val="22"/>
          <w:szCs w:val="22"/>
          <w:lang w:val="en-US"/>
        </w:rPr>
      </w:pPr>
    </w:p>
    <w:p w14:paraId="4F763152" w14:textId="77777777" w:rsidR="007F7CB2" w:rsidRDefault="007F7CB2">
      <w:pPr>
        <w:spacing w:after="160" w:line="259" w:lineRule="auto"/>
        <w:rPr>
          <w:rFonts w:eastAsiaTheme="minorHAnsi" w:cstheme="minorBidi"/>
          <w:b/>
          <w:spacing w:val="-2"/>
          <w:szCs w:val="22"/>
          <w:lang w:val="en-US" w:eastAsia="en-US"/>
        </w:rPr>
      </w:pPr>
      <w:r>
        <w:rPr>
          <w:b/>
          <w:spacing w:val="-2"/>
          <w:lang w:val="en-US"/>
        </w:rPr>
        <w:br w:type="page"/>
      </w:r>
    </w:p>
    <w:p w14:paraId="34D3A590" w14:textId="13A9BB5C" w:rsidR="00DF5778" w:rsidRPr="003334EF" w:rsidRDefault="00DF5778" w:rsidP="00465621">
      <w:pPr>
        <w:pStyle w:val="Rtab"/>
        <w:rPr>
          <w:spacing w:val="-4"/>
          <w:lang w:val="en-US"/>
        </w:rPr>
      </w:pPr>
      <w:r w:rsidRPr="003334EF">
        <w:rPr>
          <w:b/>
          <w:spacing w:val="-4"/>
          <w:lang w:val="en-US"/>
        </w:rPr>
        <w:lastRenderedPageBreak/>
        <w:t>Table 1.</w:t>
      </w:r>
      <w:r w:rsidRPr="003334EF">
        <w:rPr>
          <w:spacing w:val="-4"/>
          <w:lang w:val="en-US"/>
        </w:rPr>
        <w:t xml:space="preserve"> Typical main diesel engine (low</w:t>
      </w:r>
      <w:r w:rsidR="00A90EDD" w:rsidRPr="003334EF">
        <w:rPr>
          <w:spacing w:val="-4"/>
          <w:lang w:val="en-US"/>
        </w:rPr>
        <w:t>-</w:t>
      </w:r>
      <w:r w:rsidRPr="003334EF">
        <w:rPr>
          <w:spacing w:val="-4"/>
          <w:lang w:val="en-US"/>
        </w:rPr>
        <w:t>speed two-stroke) fuel consumption and emission before 2000, in 2020 (Tier 3) and as prognosis in 2035 and 2050 per 1000 kWh produced mechanical energy (own elaboration)</w:t>
      </w:r>
    </w:p>
    <w:tbl>
      <w:tblPr>
        <w:tblStyle w:val="Tabela-Siatka"/>
        <w:tblW w:w="7088" w:type="dxa"/>
        <w:tblInd w:w="-5" w:type="dxa"/>
        <w:tblLook w:val="04A0" w:firstRow="1" w:lastRow="0" w:firstColumn="1" w:lastColumn="0" w:noHBand="0" w:noVBand="1"/>
      </w:tblPr>
      <w:tblGrid>
        <w:gridCol w:w="770"/>
        <w:gridCol w:w="1176"/>
        <w:gridCol w:w="868"/>
        <w:gridCol w:w="896"/>
        <w:gridCol w:w="980"/>
        <w:gridCol w:w="1147"/>
        <w:gridCol w:w="1251"/>
      </w:tblGrid>
      <w:tr w:rsidR="003D6329" w:rsidRPr="00443642" w14:paraId="4CC33DFD" w14:textId="77777777" w:rsidTr="003D6329">
        <w:trPr>
          <w:cantSplit/>
          <w:trHeight w:val="1583"/>
        </w:trPr>
        <w:tc>
          <w:tcPr>
            <w:tcW w:w="770" w:type="dxa"/>
            <w:textDirection w:val="btLr"/>
            <w:vAlign w:val="center"/>
          </w:tcPr>
          <w:p w14:paraId="368366B8" w14:textId="64BF646A" w:rsidR="00DF5778" w:rsidRPr="00443642" w:rsidRDefault="00DF5778" w:rsidP="003D6329">
            <w:pPr>
              <w:pStyle w:val="Tekst"/>
              <w:ind w:left="113" w:right="113" w:firstLine="0"/>
              <w:jc w:val="left"/>
              <w:rPr>
                <w:sz w:val="20"/>
                <w:lang w:val="en-US"/>
              </w:rPr>
            </w:pPr>
            <w:r w:rsidRPr="00443642">
              <w:rPr>
                <w:sz w:val="20"/>
                <w:lang w:val="en-US"/>
              </w:rPr>
              <w:t xml:space="preserve">Year </w:t>
            </w:r>
            <w:r w:rsidR="007F7CB2">
              <w:rPr>
                <w:sz w:val="20"/>
                <w:lang w:val="en-US"/>
              </w:rPr>
              <w:br/>
            </w:r>
            <w:r w:rsidRPr="00443642">
              <w:rPr>
                <w:sz w:val="20"/>
                <w:lang w:val="en-US"/>
              </w:rPr>
              <w:t>of consideration</w:t>
            </w:r>
          </w:p>
        </w:tc>
        <w:tc>
          <w:tcPr>
            <w:tcW w:w="1176" w:type="dxa"/>
            <w:textDirection w:val="btLr"/>
            <w:vAlign w:val="center"/>
          </w:tcPr>
          <w:p w14:paraId="6A087FC7" w14:textId="77777777" w:rsidR="00DF5778" w:rsidRPr="00443642" w:rsidRDefault="00DF5778" w:rsidP="003D6329">
            <w:pPr>
              <w:pStyle w:val="Tekst"/>
              <w:ind w:left="113" w:right="113" w:firstLine="0"/>
              <w:jc w:val="left"/>
              <w:rPr>
                <w:sz w:val="20"/>
                <w:lang w:val="en-US"/>
              </w:rPr>
            </w:pPr>
            <w:r w:rsidRPr="00443642">
              <w:rPr>
                <w:sz w:val="20"/>
                <w:lang w:val="en-US"/>
              </w:rPr>
              <w:t xml:space="preserve">Specific fuel consumption </w:t>
            </w:r>
          </w:p>
        </w:tc>
        <w:tc>
          <w:tcPr>
            <w:tcW w:w="868" w:type="dxa"/>
            <w:textDirection w:val="btLr"/>
            <w:vAlign w:val="center"/>
          </w:tcPr>
          <w:p w14:paraId="631AD473" w14:textId="77777777" w:rsidR="00DF5778" w:rsidRPr="00443642" w:rsidRDefault="00DF5778" w:rsidP="003D6329">
            <w:pPr>
              <w:pStyle w:val="Tekst"/>
              <w:ind w:left="113" w:right="113" w:firstLine="0"/>
              <w:jc w:val="left"/>
              <w:rPr>
                <w:sz w:val="20"/>
                <w:lang w:val="en-US"/>
              </w:rPr>
            </w:pPr>
            <w:r w:rsidRPr="00443642">
              <w:rPr>
                <w:sz w:val="20"/>
                <w:lang w:val="en-US"/>
              </w:rPr>
              <w:t>Lubricating oil consumption</w:t>
            </w:r>
          </w:p>
        </w:tc>
        <w:tc>
          <w:tcPr>
            <w:tcW w:w="896" w:type="dxa"/>
            <w:textDirection w:val="btLr"/>
            <w:vAlign w:val="center"/>
          </w:tcPr>
          <w:p w14:paraId="175533D8" w14:textId="77777777" w:rsidR="00DF5778" w:rsidRPr="00443642" w:rsidRDefault="00DF5778" w:rsidP="003D6329">
            <w:pPr>
              <w:pStyle w:val="Tekst"/>
              <w:ind w:left="113" w:right="113" w:firstLine="0"/>
              <w:jc w:val="left"/>
              <w:rPr>
                <w:sz w:val="20"/>
                <w:lang w:val="en-US"/>
              </w:rPr>
            </w:pPr>
            <w:r w:rsidRPr="00443642">
              <w:rPr>
                <w:sz w:val="20"/>
                <w:lang w:val="en-US"/>
              </w:rPr>
              <w:t>Carbon dioxide emission</w:t>
            </w:r>
          </w:p>
        </w:tc>
        <w:tc>
          <w:tcPr>
            <w:tcW w:w="980" w:type="dxa"/>
            <w:textDirection w:val="btLr"/>
            <w:vAlign w:val="center"/>
          </w:tcPr>
          <w:p w14:paraId="3AB2A6CF" w14:textId="77777777" w:rsidR="00DF5778" w:rsidRPr="00443642" w:rsidRDefault="00DF5778" w:rsidP="003D6329">
            <w:pPr>
              <w:pStyle w:val="Tekst"/>
              <w:ind w:left="113" w:right="113" w:firstLine="0"/>
              <w:jc w:val="left"/>
              <w:rPr>
                <w:sz w:val="20"/>
                <w:lang w:val="en-US"/>
              </w:rPr>
            </w:pPr>
            <w:r w:rsidRPr="00443642">
              <w:rPr>
                <w:sz w:val="20"/>
                <w:lang w:val="en-US"/>
              </w:rPr>
              <w:t>Nitrogen oxides emission</w:t>
            </w:r>
          </w:p>
        </w:tc>
        <w:tc>
          <w:tcPr>
            <w:tcW w:w="1147" w:type="dxa"/>
            <w:textDirection w:val="btLr"/>
            <w:vAlign w:val="center"/>
          </w:tcPr>
          <w:p w14:paraId="72B615A8" w14:textId="77777777" w:rsidR="00DF5778" w:rsidRPr="00443642" w:rsidRDefault="00DF5778" w:rsidP="003D6329">
            <w:pPr>
              <w:pStyle w:val="Tekst"/>
              <w:ind w:left="113" w:right="113" w:firstLine="0"/>
              <w:jc w:val="left"/>
              <w:rPr>
                <w:sz w:val="20"/>
                <w:lang w:val="en-US"/>
              </w:rPr>
            </w:pPr>
            <w:r w:rsidRPr="00443642">
              <w:rPr>
                <w:sz w:val="20"/>
                <w:lang w:val="en-US"/>
              </w:rPr>
              <w:t>Sulfur oxides emission</w:t>
            </w:r>
          </w:p>
        </w:tc>
        <w:tc>
          <w:tcPr>
            <w:tcW w:w="1251" w:type="dxa"/>
            <w:textDirection w:val="btLr"/>
            <w:vAlign w:val="center"/>
          </w:tcPr>
          <w:p w14:paraId="4E69D2A7" w14:textId="77777777" w:rsidR="00DF5778" w:rsidRPr="00443642" w:rsidRDefault="00DF5778" w:rsidP="003D6329">
            <w:pPr>
              <w:pStyle w:val="Tekst"/>
              <w:ind w:left="113" w:right="113" w:firstLine="0"/>
              <w:jc w:val="left"/>
              <w:rPr>
                <w:sz w:val="20"/>
                <w:lang w:val="en-US"/>
              </w:rPr>
            </w:pPr>
            <w:r w:rsidRPr="00443642">
              <w:rPr>
                <w:sz w:val="20"/>
                <w:lang w:val="en-US"/>
              </w:rPr>
              <w:t>Hydrocarbons emission</w:t>
            </w:r>
          </w:p>
        </w:tc>
      </w:tr>
      <w:tr w:rsidR="003D6329" w:rsidRPr="00443642" w14:paraId="6073F4D1" w14:textId="77777777" w:rsidTr="00154233">
        <w:trPr>
          <w:trHeight w:val="230"/>
        </w:trPr>
        <w:tc>
          <w:tcPr>
            <w:tcW w:w="770" w:type="dxa"/>
            <w:vAlign w:val="center"/>
          </w:tcPr>
          <w:p w14:paraId="792DED45" w14:textId="77777777" w:rsidR="00DF5778" w:rsidRPr="00443642" w:rsidRDefault="00DF5778" w:rsidP="00064DE8">
            <w:pPr>
              <w:pStyle w:val="Tekst"/>
              <w:ind w:firstLine="0"/>
              <w:jc w:val="center"/>
              <w:rPr>
                <w:sz w:val="20"/>
                <w:lang w:val="en-US"/>
              </w:rPr>
            </w:pPr>
            <w:r w:rsidRPr="00443642">
              <w:rPr>
                <w:sz w:val="20"/>
                <w:lang w:val="en-US"/>
              </w:rPr>
              <w:t>Before 2000</w:t>
            </w:r>
          </w:p>
        </w:tc>
        <w:tc>
          <w:tcPr>
            <w:tcW w:w="1176" w:type="dxa"/>
            <w:vAlign w:val="center"/>
          </w:tcPr>
          <w:p w14:paraId="71F47284" w14:textId="77777777" w:rsidR="00DF5778" w:rsidRPr="00443642" w:rsidRDefault="00DF5778" w:rsidP="00154233">
            <w:pPr>
              <w:pStyle w:val="Tekst"/>
              <w:ind w:right="-9" w:firstLine="0"/>
              <w:jc w:val="center"/>
              <w:rPr>
                <w:sz w:val="20"/>
                <w:lang w:val="en-US"/>
              </w:rPr>
            </w:pPr>
            <w:r w:rsidRPr="00443642">
              <w:rPr>
                <w:sz w:val="20"/>
                <w:lang w:val="en-US"/>
              </w:rPr>
              <w:t>170 kg</w:t>
            </w:r>
            <w:r w:rsidRPr="003D6329">
              <w:rPr>
                <w:sz w:val="20"/>
                <w:vertAlign w:val="superscript"/>
                <w:lang w:val="en-US"/>
              </w:rPr>
              <w:t>*</w:t>
            </w:r>
          </w:p>
        </w:tc>
        <w:tc>
          <w:tcPr>
            <w:tcW w:w="868" w:type="dxa"/>
            <w:vAlign w:val="center"/>
          </w:tcPr>
          <w:p w14:paraId="49DA14EF" w14:textId="77777777" w:rsidR="00DF5778" w:rsidRPr="00443642" w:rsidRDefault="00DF5778" w:rsidP="00154233">
            <w:pPr>
              <w:pStyle w:val="Tekst"/>
              <w:ind w:right="-9" w:firstLine="0"/>
              <w:jc w:val="center"/>
              <w:rPr>
                <w:sz w:val="20"/>
                <w:lang w:val="en-US"/>
              </w:rPr>
            </w:pPr>
            <w:r w:rsidRPr="00443642">
              <w:rPr>
                <w:sz w:val="20"/>
                <w:lang w:val="en-US"/>
              </w:rPr>
              <w:t>1.5 kg</w:t>
            </w:r>
          </w:p>
        </w:tc>
        <w:tc>
          <w:tcPr>
            <w:tcW w:w="896" w:type="dxa"/>
            <w:vAlign w:val="center"/>
          </w:tcPr>
          <w:p w14:paraId="4E61ECB7" w14:textId="77777777" w:rsidR="00DF5778" w:rsidRPr="00443642" w:rsidRDefault="00DF5778" w:rsidP="00154233">
            <w:pPr>
              <w:pStyle w:val="Tekst"/>
              <w:ind w:right="-9" w:firstLine="0"/>
              <w:jc w:val="center"/>
              <w:rPr>
                <w:sz w:val="20"/>
                <w:lang w:val="en-US"/>
              </w:rPr>
            </w:pPr>
            <w:r w:rsidRPr="00443642">
              <w:rPr>
                <w:sz w:val="20"/>
                <w:lang w:val="en-US"/>
              </w:rPr>
              <w:t>530 kg</w:t>
            </w:r>
          </w:p>
        </w:tc>
        <w:tc>
          <w:tcPr>
            <w:tcW w:w="980" w:type="dxa"/>
            <w:vAlign w:val="center"/>
          </w:tcPr>
          <w:p w14:paraId="1DC304CB" w14:textId="3352FFD1" w:rsidR="00DF5778" w:rsidRPr="00443642" w:rsidRDefault="00DF5778" w:rsidP="00154233">
            <w:pPr>
              <w:pStyle w:val="Tekst"/>
              <w:ind w:right="-9" w:firstLine="0"/>
              <w:jc w:val="center"/>
              <w:rPr>
                <w:sz w:val="20"/>
                <w:lang w:val="en-US"/>
              </w:rPr>
            </w:pPr>
            <w:r w:rsidRPr="00443642">
              <w:rPr>
                <w:sz w:val="20"/>
                <w:lang w:val="en-US"/>
              </w:rPr>
              <w:t>17</w:t>
            </w:r>
            <w:r w:rsidR="007F7CB2">
              <w:rPr>
                <w:sz w:val="20"/>
                <w:lang w:val="en-US"/>
              </w:rPr>
              <w:t>-</w:t>
            </w:r>
            <w:r w:rsidRPr="00443642">
              <w:rPr>
                <w:sz w:val="20"/>
                <w:lang w:val="en-US"/>
              </w:rPr>
              <w:t>20 kg</w:t>
            </w:r>
          </w:p>
        </w:tc>
        <w:tc>
          <w:tcPr>
            <w:tcW w:w="1147" w:type="dxa"/>
            <w:vAlign w:val="center"/>
          </w:tcPr>
          <w:p w14:paraId="5D9BB131" w14:textId="77777777" w:rsidR="00DF5778" w:rsidRPr="00443642" w:rsidRDefault="00DF5778" w:rsidP="00154233">
            <w:pPr>
              <w:pStyle w:val="Tekst"/>
              <w:ind w:right="-9" w:firstLine="0"/>
              <w:jc w:val="center"/>
              <w:rPr>
                <w:sz w:val="20"/>
                <w:lang w:val="en-US"/>
              </w:rPr>
            </w:pPr>
            <w:r w:rsidRPr="00443642">
              <w:rPr>
                <w:sz w:val="20"/>
                <w:lang w:val="en-US"/>
              </w:rPr>
              <w:t>15.3 kg</w:t>
            </w:r>
            <w:r w:rsidRPr="003D6329">
              <w:rPr>
                <w:sz w:val="20"/>
                <w:vertAlign w:val="superscript"/>
                <w:lang w:val="en-US"/>
              </w:rPr>
              <w:t>**</w:t>
            </w:r>
          </w:p>
        </w:tc>
        <w:tc>
          <w:tcPr>
            <w:tcW w:w="1251" w:type="dxa"/>
            <w:vAlign w:val="center"/>
          </w:tcPr>
          <w:p w14:paraId="7338ADE4" w14:textId="0A7B2680" w:rsidR="00DF5778" w:rsidRPr="00443642" w:rsidRDefault="00DF5778" w:rsidP="00154233">
            <w:pPr>
              <w:pStyle w:val="Tekst"/>
              <w:ind w:right="-9" w:firstLine="0"/>
              <w:jc w:val="center"/>
              <w:rPr>
                <w:sz w:val="20"/>
                <w:lang w:val="en-US"/>
              </w:rPr>
            </w:pPr>
            <w:r w:rsidRPr="00443642">
              <w:rPr>
                <w:sz w:val="20"/>
                <w:lang w:val="en-US"/>
              </w:rPr>
              <w:t>0.15</w:t>
            </w:r>
            <w:r w:rsidR="007F7CB2">
              <w:rPr>
                <w:sz w:val="20"/>
                <w:lang w:val="en-US"/>
              </w:rPr>
              <w:t>-</w:t>
            </w:r>
            <w:r w:rsidRPr="00443642">
              <w:rPr>
                <w:sz w:val="20"/>
                <w:lang w:val="en-US"/>
              </w:rPr>
              <w:t>0.2 kg</w:t>
            </w:r>
          </w:p>
        </w:tc>
      </w:tr>
      <w:tr w:rsidR="003D6329" w:rsidRPr="00443642" w14:paraId="033D025A" w14:textId="77777777" w:rsidTr="00154233">
        <w:trPr>
          <w:trHeight w:val="283"/>
        </w:trPr>
        <w:tc>
          <w:tcPr>
            <w:tcW w:w="770" w:type="dxa"/>
            <w:vAlign w:val="center"/>
          </w:tcPr>
          <w:p w14:paraId="5B83F2D4" w14:textId="77777777" w:rsidR="00DF5778" w:rsidRPr="00443642" w:rsidRDefault="00DF5778" w:rsidP="00064DE8">
            <w:pPr>
              <w:pStyle w:val="Tekst"/>
              <w:ind w:firstLine="0"/>
              <w:jc w:val="center"/>
              <w:rPr>
                <w:sz w:val="20"/>
                <w:lang w:val="en-US"/>
              </w:rPr>
            </w:pPr>
            <w:r w:rsidRPr="00443642">
              <w:rPr>
                <w:sz w:val="20"/>
                <w:lang w:val="en-US"/>
              </w:rPr>
              <w:t>2020</w:t>
            </w:r>
          </w:p>
        </w:tc>
        <w:tc>
          <w:tcPr>
            <w:tcW w:w="1176" w:type="dxa"/>
            <w:vAlign w:val="center"/>
          </w:tcPr>
          <w:p w14:paraId="7007A759" w14:textId="77777777" w:rsidR="00DF5778" w:rsidRPr="00443642" w:rsidRDefault="00DF5778" w:rsidP="00154233">
            <w:pPr>
              <w:pStyle w:val="Tekst"/>
              <w:ind w:right="-9" w:firstLine="0"/>
              <w:jc w:val="center"/>
              <w:rPr>
                <w:sz w:val="20"/>
                <w:lang w:val="en-US"/>
              </w:rPr>
            </w:pPr>
            <w:r w:rsidRPr="00443642">
              <w:rPr>
                <w:sz w:val="20"/>
                <w:lang w:val="en-US"/>
              </w:rPr>
              <w:t>165 kg</w:t>
            </w:r>
            <w:r w:rsidRPr="003D6329">
              <w:rPr>
                <w:sz w:val="20"/>
                <w:vertAlign w:val="superscript"/>
                <w:lang w:val="en-US"/>
              </w:rPr>
              <w:t>*</w:t>
            </w:r>
          </w:p>
        </w:tc>
        <w:tc>
          <w:tcPr>
            <w:tcW w:w="868" w:type="dxa"/>
            <w:vAlign w:val="center"/>
          </w:tcPr>
          <w:p w14:paraId="70ABF698" w14:textId="77777777" w:rsidR="00DF5778" w:rsidRPr="00443642" w:rsidRDefault="00DF5778" w:rsidP="00154233">
            <w:pPr>
              <w:pStyle w:val="Tekst"/>
              <w:ind w:right="-9" w:firstLine="0"/>
              <w:jc w:val="center"/>
              <w:rPr>
                <w:sz w:val="20"/>
                <w:lang w:val="en-US"/>
              </w:rPr>
            </w:pPr>
            <w:r w:rsidRPr="00443642">
              <w:rPr>
                <w:sz w:val="20"/>
                <w:lang w:val="en-US"/>
              </w:rPr>
              <w:t>0.7 kg</w:t>
            </w:r>
          </w:p>
        </w:tc>
        <w:tc>
          <w:tcPr>
            <w:tcW w:w="896" w:type="dxa"/>
            <w:vAlign w:val="center"/>
          </w:tcPr>
          <w:p w14:paraId="10200967" w14:textId="77777777" w:rsidR="00DF5778" w:rsidRPr="00443642" w:rsidRDefault="00DF5778" w:rsidP="00154233">
            <w:pPr>
              <w:pStyle w:val="Tekst"/>
              <w:ind w:right="-9" w:firstLine="0"/>
              <w:jc w:val="center"/>
              <w:rPr>
                <w:sz w:val="20"/>
                <w:lang w:val="en-US"/>
              </w:rPr>
            </w:pPr>
            <w:r w:rsidRPr="00443642">
              <w:rPr>
                <w:sz w:val="20"/>
                <w:lang w:val="en-US"/>
              </w:rPr>
              <w:t>515 kg</w:t>
            </w:r>
          </w:p>
        </w:tc>
        <w:tc>
          <w:tcPr>
            <w:tcW w:w="980" w:type="dxa"/>
            <w:vAlign w:val="center"/>
          </w:tcPr>
          <w:p w14:paraId="3815625A" w14:textId="77777777" w:rsidR="00DF5778" w:rsidRPr="00443642" w:rsidRDefault="00DF5778" w:rsidP="00154233">
            <w:pPr>
              <w:pStyle w:val="Tekst"/>
              <w:ind w:left="-134" w:right="42" w:firstLine="0"/>
              <w:jc w:val="center"/>
              <w:rPr>
                <w:sz w:val="20"/>
                <w:lang w:val="en-US"/>
              </w:rPr>
            </w:pPr>
            <w:r w:rsidRPr="00443642">
              <w:rPr>
                <w:sz w:val="20"/>
                <w:lang w:val="en-US"/>
              </w:rPr>
              <w:t>2 kg</w:t>
            </w:r>
          </w:p>
        </w:tc>
        <w:tc>
          <w:tcPr>
            <w:tcW w:w="1147" w:type="dxa"/>
            <w:vAlign w:val="center"/>
          </w:tcPr>
          <w:p w14:paraId="276AD76F" w14:textId="44415D0D" w:rsidR="00DF5778" w:rsidRPr="00443642" w:rsidRDefault="00DF5778" w:rsidP="00154233">
            <w:pPr>
              <w:pStyle w:val="Tekst"/>
              <w:ind w:right="-9" w:firstLine="0"/>
              <w:jc w:val="center"/>
              <w:rPr>
                <w:sz w:val="20"/>
                <w:lang w:val="en-US"/>
              </w:rPr>
            </w:pPr>
            <w:r w:rsidRPr="00443642">
              <w:rPr>
                <w:sz w:val="20"/>
                <w:lang w:val="en-US"/>
              </w:rPr>
              <w:t>1.6 kg</w:t>
            </w:r>
            <w:r w:rsidRPr="003D6329">
              <w:rPr>
                <w:sz w:val="20"/>
                <w:vertAlign w:val="superscript"/>
                <w:lang w:val="en-US"/>
              </w:rPr>
              <w:t>***</w:t>
            </w:r>
          </w:p>
        </w:tc>
        <w:tc>
          <w:tcPr>
            <w:tcW w:w="1251" w:type="dxa"/>
            <w:vAlign w:val="center"/>
          </w:tcPr>
          <w:p w14:paraId="1172FC12" w14:textId="537FD724" w:rsidR="00DF5778" w:rsidRPr="00443642" w:rsidRDefault="00DF5778" w:rsidP="00154233">
            <w:pPr>
              <w:pStyle w:val="Tekst"/>
              <w:ind w:right="-9" w:firstLine="0"/>
              <w:jc w:val="center"/>
              <w:rPr>
                <w:sz w:val="20"/>
                <w:lang w:val="en-US"/>
              </w:rPr>
            </w:pPr>
            <w:r w:rsidRPr="00443642">
              <w:rPr>
                <w:sz w:val="20"/>
                <w:lang w:val="en-US"/>
              </w:rPr>
              <w:t>0.15</w:t>
            </w:r>
            <w:r w:rsidR="003D6329">
              <w:rPr>
                <w:sz w:val="20"/>
                <w:lang w:val="en-US"/>
              </w:rPr>
              <w:t>-</w:t>
            </w:r>
            <w:r w:rsidRPr="00443642">
              <w:rPr>
                <w:sz w:val="20"/>
                <w:lang w:val="en-US"/>
              </w:rPr>
              <w:t>2 kg</w:t>
            </w:r>
            <w:r w:rsidRPr="003D6329">
              <w:rPr>
                <w:sz w:val="20"/>
                <w:vertAlign w:val="superscript"/>
                <w:lang w:val="en-US"/>
              </w:rPr>
              <w:t>****</w:t>
            </w:r>
          </w:p>
        </w:tc>
      </w:tr>
      <w:tr w:rsidR="003D6329" w:rsidRPr="00443642" w14:paraId="1EA16CB8" w14:textId="77777777" w:rsidTr="00154233">
        <w:trPr>
          <w:trHeight w:val="283"/>
        </w:trPr>
        <w:tc>
          <w:tcPr>
            <w:tcW w:w="770" w:type="dxa"/>
            <w:vAlign w:val="center"/>
          </w:tcPr>
          <w:p w14:paraId="568FF8EE" w14:textId="77777777" w:rsidR="00DF5778" w:rsidRPr="00443642" w:rsidRDefault="00DF5778" w:rsidP="00064DE8">
            <w:pPr>
              <w:pStyle w:val="Tekst"/>
              <w:ind w:firstLine="0"/>
              <w:jc w:val="center"/>
              <w:rPr>
                <w:sz w:val="20"/>
                <w:lang w:val="en-US"/>
              </w:rPr>
            </w:pPr>
            <w:r w:rsidRPr="00443642">
              <w:rPr>
                <w:sz w:val="20"/>
                <w:lang w:val="en-US"/>
              </w:rPr>
              <w:t>2030</w:t>
            </w:r>
          </w:p>
        </w:tc>
        <w:tc>
          <w:tcPr>
            <w:tcW w:w="1176" w:type="dxa"/>
            <w:vAlign w:val="center"/>
          </w:tcPr>
          <w:p w14:paraId="6C4DB22E" w14:textId="5DEAE54D" w:rsidR="00DF5778" w:rsidRPr="00443642" w:rsidRDefault="00DF5778" w:rsidP="00154233">
            <w:pPr>
              <w:pStyle w:val="Tekst"/>
              <w:ind w:right="-9" w:firstLine="0"/>
              <w:jc w:val="center"/>
              <w:rPr>
                <w:sz w:val="20"/>
                <w:lang w:val="en-US"/>
              </w:rPr>
            </w:pPr>
            <w:r w:rsidRPr="00443642">
              <w:rPr>
                <w:sz w:val="20"/>
                <w:lang w:val="en-US"/>
              </w:rPr>
              <w:t>140 kg</w:t>
            </w:r>
            <w:r w:rsidRPr="003D6329">
              <w:rPr>
                <w:sz w:val="20"/>
                <w:vertAlign w:val="superscript"/>
                <w:lang w:val="en-US"/>
              </w:rPr>
              <w:t>****</w:t>
            </w:r>
          </w:p>
        </w:tc>
        <w:tc>
          <w:tcPr>
            <w:tcW w:w="868" w:type="dxa"/>
            <w:vAlign w:val="center"/>
          </w:tcPr>
          <w:p w14:paraId="7BB978E2" w14:textId="77777777" w:rsidR="00DF5778" w:rsidRPr="00443642" w:rsidRDefault="00DF5778" w:rsidP="00154233">
            <w:pPr>
              <w:pStyle w:val="Tekst"/>
              <w:ind w:right="-9" w:firstLine="0"/>
              <w:jc w:val="center"/>
              <w:rPr>
                <w:sz w:val="20"/>
                <w:lang w:val="en-US"/>
              </w:rPr>
            </w:pPr>
            <w:r w:rsidRPr="00443642">
              <w:rPr>
                <w:sz w:val="20"/>
                <w:lang w:val="en-US"/>
              </w:rPr>
              <w:t>0.5 kg</w:t>
            </w:r>
          </w:p>
        </w:tc>
        <w:tc>
          <w:tcPr>
            <w:tcW w:w="896" w:type="dxa"/>
            <w:vAlign w:val="center"/>
          </w:tcPr>
          <w:p w14:paraId="155F5EC8" w14:textId="77777777" w:rsidR="00DF5778" w:rsidRPr="00443642" w:rsidRDefault="00DF5778" w:rsidP="00154233">
            <w:pPr>
              <w:pStyle w:val="Tekst"/>
              <w:ind w:right="-9" w:firstLine="0"/>
              <w:jc w:val="center"/>
              <w:rPr>
                <w:sz w:val="20"/>
                <w:lang w:val="en-US"/>
              </w:rPr>
            </w:pPr>
            <w:r w:rsidRPr="00443642">
              <w:rPr>
                <w:sz w:val="20"/>
                <w:lang w:val="en-US"/>
              </w:rPr>
              <w:t>350 kg</w:t>
            </w:r>
          </w:p>
        </w:tc>
        <w:tc>
          <w:tcPr>
            <w:tcW w:w="980" w:type="dxa"/>
            <w:vAlign w:val="center"/>
          </w:tcPr>
          <w:p w14:paraId="06C3C8B2" w14:textId="77777777" w:rsidR="00DF5778" w:rsidRPr="00443642" w:rsidRDefault="00DF5778" w:rsidP="00154233">
            <w:pPr>
              <w:pStyle w:val="Tekst"/>
              <w:ind w:left="-134" w:right="42" w:firstLine="0"/>
              <w:jc w:val="center"/>
              <w:rPr>
                <w:sz w:val="20"/>
                <w:lang w:val="en-US"/>
              </w:rPr>
            </w:pPr>
            <w:r w:rsidRPr="00443642">
              <w:rPr>
                <w:sz w:val="20"/>
                <w:lang w:val="en-US"/>
              </w:rPr>
              <w:t>0.2 kg</w:t>
            </w:r>
          </w:p>
        </w:tc>
        <w:tc>
          <w:tcPr>
            <w:tcW w:w="1147" w:type="dxa"/>
            <w:vAlign w:val="center"/>
          </w:tcPr>
          <w:p w14:paraId="1FF70452" w14:textId="5AFA0291" w:rsidR="00DF5778" w:rsidRPr="00443642" w:rsidRDefault="00DF5778" w:rsidP="00154233">
            <w:pPr>
              <w:pStyle w:val="Tekst"/>
              <w:ind w:right="-9" w:firstLine="0"/>
              <w:jc w:val="center"/>
              <w:rPr>
                <w:sz w:val="20"/>
                <w:lang w:val="en-US"/>
              </w:rPr>
            </w:pPr>
            <w:r w:rsidRPr="00443642">
              <w:rPr>
                <w:sz w:val="20"/>
                <w:lang w:val="en-US"/>
              </w:rPr>
              <w:t>0.05 kg</w:t>
            </w:r>
            <w:r w:rsidRPr="003D6329">
              <w:rPr>
                <w:sz w:val="20"/>
                <w:vertAlign w:val="superscript"/>
                <w:lang w:val="en-US"/>
              </w:rPr>
              <w:t>****</w:t>
            </w:r>
          </w:p>
        </w:tc>
        <w:tc>
          <w:tcPr>
            <w:tcW w:w="1251" w:type="dxa"/>
            <w:vAlign w:val="center"/>
          </w:tcPr>
          <w:p w14:paraId="626D8558" w14:textId="474575C5" w:rsidR="00DF5778" w:rsidRPr="00443642" w:rsidRDefault="00DF5778" w:rsidP="00154233">
            <w:pPr>
              <w:pStyle w:val="Tekst"/>
              <w:ind w:right="-9" w:firstLine="0"/>
              <w:jc w:val="center"/>
              <w:rPr>
                <w:sz w:val="20"/>
                <w:lang w:val="en-US"/>
              </w:rPr>
            </w:pPr>
            <w:r w:rsidRPr="00443642">
              <w:rPr>
                <w:sz w:val="20"/>
                <w:lang w:val="en-US"/>
              </w:rPr>
              <w:t>0.2 kg</w:t>
            </w:r>
            <w:r w:rsidRPr="003D6329">
              <w:rPr>
                <w:sz w:val="20"/>
                <w:vertAlign w:val="superscript"/>
                <w:lang w:val="en-US"/>
              </w:rPr>
              <w:t>****</w:t>
            </w:r>
          </w:p>
        </w:tc>
      </w:tr>
      <w:tr w:rsidR="003D6329" w:rsidRPr="00443642" w14:paraId="37D5124A" w14:textId="77777777" w:rsidTr="00154233">
        <w:trPr>
          <w:trHeight w:val="283"/>
        </w:trPr>
        <w:tc>
          <w:tcPr>
            <w:tcW w:w="770" w:type="dxa"/>
            <w:vAlign w:val="center"/>
          </w:tcPr>
          <w:p w14:paraId="31D489F7" w14:textId="77777777" w:rsidR="00DF5778" w:rsidRPr="00443642" w:rsidRDefault="00DF5778" w:rsidP="00064DE8">
            <w:pPr>
              <w:pStyle w:val="Tekst"/>
              <w:ind w:firstLine="0"/>
              <w:jc w:val="center"/>
              <w:rPr>
                <w:sz w:val="20"/>
                <w:lang w:val="en-US"/>
              </w:rPr>
            </w:pPr>
            <w:r w:rsidRPr="00443642">
              <w:rPr>
                <w:sz w:val="20"/>
                <w:lang w:val="en-US"/>
              </w:rPr>
              <w:t>2050</w:t>
            </w:r>
          </w:p>
        </w:tc>
        <w:tc>
          <w:tcPr>
            <w:tcW w:w="1176" w:type="dxa"/>
            <w:vAlign w:val="center"/>
          </w:tcPr>
          <w:p w14:paraId="41BD8845" w14:textId="176BAB85" w:rsidR="00DF5778" w:rsidRPr="00443642" w:rsidRDefault="00DF5778" w:rsidP="00154233">
            <w:pPr>
              <w:pStyle w:val="Tekst"/>
              <w:ind w:right="-9" w:firstLine="0"/>
              <w:jc w:val="center"/>
              <w:rPr>
                <w:sz w:val="20"/>
                <w:lang w:val="en-US"/>
              </w:rPr>
            </w:pPr>
            <w:r w:rsidRPr="00443642">
              <w:rPr>
                <w:sz w:val="20"/>
                <w:lang w:val="en-US"/>
              </w:rPr>
              <w:t>350 kg</w:t>
            </w:r>
            <w:r w:rsidRPr="003D6329">
              <w:rPr>
                <w:sz w:val="20"/>
                <w:vertAlign w:val="superscript"/>
                <w:lang w:val="en-US"/>
              </w:rPr>
              <w:t>*****</w:t>
            </w:r>
          </w:p>
        </w:tc>
        <w:tc>
          <w:tcPr>
            <w:tcW w:w="868" w:type="dxa"/>
            <w:vAlign w:val="center"/>
          </w:tcPr>
          <w:p w14:paraId="1F219A1B" w14:textId="77777777" w:rsidR="00DF5778" w:rsidRPr="00443642" w:rsidRDefault="00DF5778" w:rsidP="00154233">
            <w:pPr>
              <w:pStyle w:val="Tekst"/>
              <w:ind w:right="-9" w:firstLine="0"/>
              <w:jc w:val="center"/>
              <w:rPr>
                <w:sz w:val="20"/>
                <w:lang w:val="en-US"/>
              </w:rPr>
            </w:pPr>
            <w:r w:rsidRPr="00443642">
              <w:rPr>
                <w:sz w:val="20"/>
                <w:lang w:val="en-US"/>
              </w:rPr>
              <w:t>0.5 kg</w:t>
            </w:r>
          </w:p>
        </w:tc>
        <w:tc>
          <w:tcPr>
            <w:tcW w:w="896" w:type="dxa"/>
            <w:vAlign w:val="center"/>
          </w:tcPr>
          <w:p w14:paraId="6721CBE2" w14:textId="77777777" w:rsidR="00DF5778" w:rsidRPr="00443642" w:rsidRDefault="00DF5778" w:rsidP="00154233">
            <w:pPr>
              <w:pStyle w:val="Tekst"/>
              <w:ind w:right="-9" w:firstLine="0"/>
              <w:jc w:val="center"/>
              <w:rPr>
                <w:sz w:val="20"/>
                <w:lang w:val="en-US"/>
              </w:rPr>
            </w:pPr>
            <w:r w:rsidRPr="00443642">
              <w:rPr>
                <w:sz w:val="20"/>
                <w:lang w:val="en-US"/>
              </w:rPr>
              <w:t>25 kg</w:t>
            </w:r>
          </w:p>
        </w:tc>
        <w:tc>
          <w:tcPr>
            <w:tcW w:w="980" w:type="dxa"/>
            <w:vAlign w:val="center"/>
          </w:tcPr>
          <w:p w14:paraId="16978149" w14:textId="77777777" w:rsidR="00DF5778" w:rsidRPr="00443642" w:rsidRDefault="00DF5778" w:rsidP="00154233">
            <w:pPr>
              <w:pStyle w:val="Tekst"/>
              <w:ind w:left="-134" w:right="42" w:firstLine="0"/>
              <w:jc w:val="center"/>
              <w:rPr>
                <w:sz w:val="20"/>
                <w:lang w:val="en-US"/>
              </w:rPr>
            </w:pPr>
            <w:r w:rsidRPr="00443642">
              <w:rPr>
                <w:sz w:val="20"/>
                <w:lang w:val="en-US"/>
              </w:rPr>
              <w:t>0.2 kg</w:t>
            </w:r>
          </w:p>
        </w:tc>
        <w:tc>
          <w:tcPr>
            <w:tcW w:w="1147" w:type="dxa"/>
            <w:vAlign w:val="center"/>
          </w:tcPr>
          <w:p w14:paraId="4D477B60" w14:textId="1A9B968A" w:rsidR="00DF5778" w:rsidRPr="00443642" w:rsidRDefault="00DF5778" w:rsidP="00154233">
            <w:pPr>
              <w:pStyle w:val="Tekst"/>
              <w:ind w:right="-9" w:firstLine="0"/>
              <w:jc w:val="center"/>
              <w:rPr>
                <w:sz w:val="20"/>
                <w:lang w:val="en-US"/>
              </w:rPr>
            </w:pPr>
            <w:r w:rsidRPr="00443642">
              <w:rPr>
                <w:sz w:val="20"/>
                <w:lang w:val="en-US"/>
              </w:rPr>
              <w:t>0.05 kg</w:t>
            </w:r>
            <w:r w:rsidRPr="003D6329">
              <w:rPr>
                <w:sz w:val="20"/>
                <w:vertAlign w:val="superscript"/>
                <w:lang w:val="en-US"/>
              </w:rPr>
              <w:t>*****</w:t>
            </w:r>
          </w:p>
        </w:tc>
        <w:tc>
          <w:tcPr>
            <w:tcW w:w="1251" w:type="dxa"/>
            <w:vAlign w:val="center"/>
          </w:tcPr>
          <w:p w14:paraId="4A54F202" w14:textId="4EC3DE02" w:rsidR="00DF5778" w:rsidRPr="00443642" w:rsidRDefault="00DF5778" w:rsidP="00154233">
            <w:pPr>
              <w:pStyle w:val="Tekst"/>
              <w:ind w:right="-9" w:firstLine="0"/>
              <w:jc w:val="center"/>
              <w:rPr>
                <w:sz w:val="20"/>
                <w:lang w:val="en-US"/>
              </w:rPr>
            </w:pPr>
            <w:r w:rsidRPr="00443642">
              <w:rPr>
                <w:sz w:val="20"/>
                <w:lang w:val="en-US"/>
              </w:rPr>
              <w:t>0.01 kg</w:t>
            </w:r>
            <w:r w:rsidRPr="003D6329">
              <w:rPr>
                <w:sz w:val="20"/>
                <w:vertAlign w:val="superscript"/>
                <w:lang w:val="en-US"/>
              </w:rPr>
              <w:t>*****</w:t>
            </w:r>
          </w:p>
        </w:tc>
      </w:tr>
      <w:tr w:rsidR="003D6329" w:rsidRPr="00443642" w14:paraId="410C96DB" w14:textId="77777777" w:rsidTr="00154233">
        <w:trPr>
          <w:trHeight w:val="283"/>
        </w:trPr>
        <w:tc>
          <w:tcPr>
            <w:tcW w:w="770" w:type="dxa"/>
            <w:vAlign w:val="center"/>
          </w:tcPr>
          <w:p w14:paraId="042B7961" w14:textId="77777777" w:rsidR="00DF5778" w:rsidRPr="00443642" w:rsidRDefault="00DF5778" w:rsidP="00064DE8">
            <w:pPr>
              <w:pStyle w:val="Tekst"/>
              <w:ind w:firstLine="0"/>
              <w:jc w:val="center"/>
              <w:rPr>
                <w:sz w:val="20"/>
                <w:lang w:val="en-US"/>
              </w:rPr>
            </w:pPr>
            <w:r w:rsidRPr="00443642">
              <w:rPr>
                <w:sz w:val="20"/>
                <w:lang w:val="en-US"/>
              </w:rPr>
              <w:t>2050</w:t>
            </w:r>
          </w:p>
        </w:tc>
        <w:tc>
          <w:tcPr>
            <w:tcW w:w="1176" w:type="dxa"/>
            <w:vAlign w:val="center"/>
          </w:tcPr>
          <w:p w14:paraId="12DC1F36" w14:textId="189FBA0D" w:rsidR="00DF5778" w:rsidRPr="00443642" w:rsidRDefault="00DF5778" w:rsidP="00154233">
            <w:pPr>
              <w:pStyle w:val="Tekst"/>
              <w:ind w:right="-9" w:firstLine="0"/>
              <w:jc w:val="center"/>
              <w:rPr>
                <w:sz w:val="20"/>
                <w:lang w:val="en-US"/>
              </w:rPr>
            </w:pPr>
            <w:r w:rsidRPr="00443642">
              <w:rPr>
                <w:sz w:val="20"/>
                <w:lang w:val="en-US"/>
              </w:rPr>
              <w:t>52 kg</w:t>
            </w:r>
            <w:r w:rsidRPr="003D6329">
              <w:rPr>
                <w:sz w:val="20"/>
                <w:vertAlign w:val="superscript"/>
                <w:lang w:val="en-US"/>
              </w:rPr>
              <w:t>******</w:t>
            </w:r>
          </w:p>
        </w:tc>
        <w:tc>
          <w:tcPr>
            <w:tcW w:w="868" w:type="dxa"/>
            <w:vAlign w:val="center"/>
          </w:tcPr>
          <w:p w14:paraId="21A60B19" w14:textId="77777777" w:rsidR="00DF5778" w:rsidRPr="00443642" w:rsidRDefault="00DF5778" w:rsidP="00154233">
            <w:pPr>
              <w:pStyle w:val="Tekst"/>
              <w:ind w:right="-9" w:firstLine="0"/>
              <w:jc w:val="center"/>
              <w:rPr>
                <w:sz w:val="20"/>
                <w:lang w:val="en-US"/>
              </w:rPr>
            </w:pPr>
            <w:r w:rsidRPr="00443642">
              <w:rPr>
                <w:sz w:val="20"/>
                <w:lang w:val="en-US"/>
              </w:rPr>
              <w:t>0.5 kg</w:t>
            </w:r>
          </w:p>
        </w:tc>
        <w:tc>
          <w:tcPr>
            <w:tcW w:w="896" w:type="dxa"/>
            <w:vAlign w:val="center"/>
          </w:tcPr>
          <w:p w14:paraId="7A04858F" w14:textId="7F842596" w:rsidR="00DF5778" w:rsidRPr="00064DE8" w:rsidRDefault="00DF5778" w:rsidP="00154233">
            <w:pPr>
              <w:pStyle w:val="Tekst"/>
              <w:ind w:left="-79" w:firstLine="0"/>
              <w:jc w:val="center"/>
              <w:rPr>
                <w:spacing w:val="-2"/>
                <w:sz w:val="20"/>
                <w:lang w:val="en-US"/>
              </w:rPr>
            </w:pPr>
            <w:r w:rsidRPr="00064DE8">
              <w:rPr>
                <w:spacing w:val="-2"/>
                <w:sz w:val="20"/>
                <w:lang w:val="en-US"/>
              </w:rPr>
              <w:t>kg (trace)</w:t>
            </w:r>
          </w:p>
        </w:tc>
        <w:tc>
          <w:tcPr>
            <w:tcW w:w="980" w:type="dxa"/>
            <w:vAlign w:val="center"/>
          </w:tcPr>
          <w:p w14:paraId="1A84CA18" w14:textId="77777777" w:rsidR="00DF5778" w:rsidRPr="00443642" w:rsidRDefault="00DF5778" w:rsidP="00154233">
            <w:pPr>
              <w:pStyle w:val="Tekst"/>
              <w:ind w:right="-9" w:firstLine="0"/>
              <w:jc w:val="center"/>
              <w:rPr>
                <w:sz w:val="20"/>
                <w:lang w:val="en-US"/>
              </w:rPr>
            </w:pPr>
            <w:r w:rsidRPr="00443642">
              <w:rPr>
                <w:sz w:val="20"/>
                <w:lang w:val="en-US"/>
              </w:rPr>
              <w:t>unknown</w:t>
            </w:r>
          </w:p>
        </w:tc>
        <w:tc>
          <w:tcPr>
            <w:tcW w:w="1147" w:type="dxa"/>
            <w:vAlign w:val="center"/>
          </w:tcPr>
          <w:p w14:paraId="7349BA08" w14:textId="77777777" w:rsidR="00DF5778" w:rsidRPr="00443642" w:rsidRDefault="00DF5778" w:rsidP="00154233">
            <w:pPr>
              <w:pStyle w:val="Tekst"/>
              <w:ind w:right="-9" w:firstLine="0"/>
              <w:jc w:val="center"/>
              <w:rPr>
                <w:sz w:val="20"/>
                <w:lang w:val="en-US"/>
              </w:rPr>
            </w:pPr>
            <w:r w:rsidRPr="00443642">
              <w:rPr>
                <w:sz w:val="20"/>
                <w:lang w:val="en-US"/>
              </w:rPr>
              <w:t>trace</w:t>
            </w:r>
          </w:p>
        </w:tc>
        <w:tc>
          <w:tcPr>
            <w:tcW w:w="1251" w:type="dxa"/>
            <w:vAlign w:val="center"/>
          </w:tcPr>
          <w:p w14:paraId="6E72B166" w14:textId="77777777" w:rsidR="00DF5778" w:rsidRPr="00443642" w:rsidRDefault="00DF5778" w:rsidP="00154233">
            <w:pPr>
              <w:pStyle w:val="Tekst"/>
              <w:ind w:right="-9" w:firstLine="0"/>
              <w:jc w:val="center"/>
              <w:rPr>
                <w:sz w:val="20"/>
                <w:lang w:val="en-US"/>
              </w:rPr>
            </w:pPr>
            <w:r w:rsidRPr="00443642">
              <w:rPr>
                <w:sz w:val="20"/>
                <w:lang w:val="en-US"/>
              </w:rPr>
              <w:t>zero</w:t>
            </w:r>
          </w:p>
        </w:tc>
      </w:tr>
    </w:tbl>
    <w:p w14:paraId="1B0432B1" w14:textId="1F9A01AA" w:rsidR="00DF5778" w:rsidRPr="00443642" w:rsidRDefault="00DF5778" w:rsidP="002D3ADC">
      <w:pPr>
        <w:pStyle w:val="Tekst"/>
        <w:spacing w:before="60"/>
        <w:ind w:firstLine="0"/>
        <w:rPr>
          <w:sz w:val="20"/>
          <w:lang w:val="en-US"/>
        </w:rPr>
      </w:pPr>
      <w:r w:rsidRPr="00B96E04">
        <w:rPr>
          <w:sz w:val="20"/>
          <w:vertAlign w:val="superscript"/>
          <w:lang w:val="en-US"/>
        </w:rPr>
        <w:t>*</w:t>
      </w:r>
      <w:r w:rsidRPr="00443642">
        <w:rPr>
          <w:sz w:val="20"/>
          <w:lang w:val="en-US"/>
        </w:rPr>
        <w:t xml:space="preserve"> for fuels of LHV equal to 42.7 MJ/kg (ISO standard)</w:t>
      </w:r>
      <w:r w:rsidR="002D3ADC" w:rsidRPr="00443642">
        <w:rPr>
          <w:sz w:val="20"/>
          <w:lang w:val="en-US"/>
        </w:rPr>
        <w:t>,</w:t>
      </w:r>
    </w:p>
    <w:p w14:paraId="0B196FB2" w14:textId="723EA8F4" w:rsidR="00DF5778" w:rsidRPr="00443642" w:rsidRDefault="00DF5778" w:rsidP="00DF5778">
      <w:pPr>
        <w:pStyle w:val="Tekst"/>
        <w:ind w:firstLine="0"/>
        <w:rPr>
          <w:sz w:val="20"/>
          <w:lang w:val="en-US"/>
        </w:rPr>
      </w:pPr>
      <w:r w:rsidRPr="00B96E04">
        <w:rPr>
          <w:sz w:val="20"/>
          <w:vertAlign w:val="superscript"/>
          <w:lang w:val="en-US"/>
        </w:rPr>
        <w:t>**</w:t>
      </w:r>
      <w:r w:rsidRPr="00443642">
        <w:rPr>
          <w:sz w:val="20"/>
          <w:lang w:val="en-US"/>
        </w:rPr>
        <w:t xml:space="preserve"> for 4.5% sulfur content in the heavy fuel oil (HFO)</w:t>
      </w:r>
      <w:r w:rsidR="002D3ADC" w:rsidRPr="00443642">
        <w:rPr>
          <w:sz w:val="20"/>
          <w:lang w:val="en-US"/>
        </w:rPr>
        <w:t>,</w:t>
      </w:r>
    </w:p>
    <w:p w14:paraId="69DEA666" w14:textId="68E47C71" w:rsidR="00DF5778" w:rsidRPr="00443642" w:rsidRDefault="00DF5778" w:rsidP="00DF5778">
      <w:pPr>
        <w:pStyle w:val="Tekst"/>
        <w:ind w:firstLine="0"/>
        <w:rPr>
          <w:sz w:val="20"/>
          <w:lang w:val="en-US"/>
        </w:rPr>
      </w:pPr>
      <w:r w:rsidRPr="00B96E04">
        <w:rPr>
          <w:sz w:val="20"/>
          <w:vertAlign w:val="superscript"/>
          <w:lang w:val="en-US"/>
        </w:rPr>
        <w:t>***</w:t>
      </w:r>
      <w:r w:rsidRPr="00443642">
        <w:rPr>
          <w:sz w:val="20"/>
          <w:lang w:val="en-US"/>
        </w:rPr>
        <w:t xml:space="preserve"> for 0.5% sulfur content in the heavy fuel oil</w:t>
      </w:r>
      <w:r w:rsidR="002D3ADC" w:rsidRPr="00443642">
        <w:rPr>
          <w:sz w:val="20"/>
          <w:lang w:val="en-US"/>
        </w:rPr>
        <w:t>,</w:t>
      </w:r>
    </w:p>
    <w:p w14:paraId="1DA293BD" w14:textId="47C06B00" w:rsidR="00DF5778" w:rsidRPr="00443642" w:rsidRDefault="00DF5778" w:rsidP="00DF5778">
      <w:pPr>
        <w:pStyle w:val="Tekst"/>
        <w:ind w:firstLine="0"/>
        <w:rPr>
          <w:sz w:val="20"/>
          <w:lang w:val="en-US"/>
        </w:rPr>
      </w:pPr>
      <w:r w:rsidRPr="00B96E04">
        <w:rPr>
          <w:sz w:val="20"/>
          <w:vertAlign w:val="superscript"/>
          <w:lang w:val="en-US"/>
        </w:rPr>
        <w:t>****</w:t>
      </w:r>
      <w:r w:rsidRPr="00443642">
        <w:rPr>
          <w:sz w:val="20"/>
          <w:lang w:val="en-US"/>
        </w:rPr>
        <w:t xml:space="preserve"> for LNG (LHV</w:t>
      </w:r>
      <w:r w:rsidR="00BB002C">
        <w:rPr>
          <w:sz w:val="20"/>
          <w:lang w:val="en-US"/>
        </w:rPr>
        <w:t xml:space="preserve"> </w:t>
      </w:r>
      <w:r w:rsidRPr="00443642">
        <w:rPr>
          <w:sz w:val="20"/>
          <w:lang w:val="en-US"/>
        </w:rPr>
        <w:t>=</w:t>
      </w:r>
      <w:r w:rsidR="00BB002C">
        <w:rPr>
          <w:sz w:val="20"/>
          <w:lang w:val="en-US"/>
        </w:rPr>
        <w:t xml:space="preserve"> </w:t>
      </w:r>
      <w:r w:rsidRPr="00443642">
        <w:rPr>
          <w:sz w:val="20"/>
          <w:lang w:val="en-US"/>
        </w:rPr>
        <w:t>50 MJ/kg)</w:t>
      </w:r>
      <w:r w:rsidR="002D3ADC" w:rsidRPr="00443642">
        <w:rPr>
          <w:sz w:val="20"/>
          <w:lang w:val="en-US"/>
        </w:rPr>
        <w:t>,</w:t>
      </w:r>
    </w:p>
    <w:p w14:paraId="010A76BB" w14:textId="751141E7" w:rsidR="00DF5778" w:rsidRPr="00443642" w:rsidRDefault="00DF5778" w:rsidP="00DF5778">
      <w:pPr>
        <w:pStyle w:val="Tekst"/>
        <w:ind w:firstLine="0"/>
        <w:rPr>
          <w:sz w:val="20"/>
          <w:lang w:val="en-US"/>
        </w:rPr>
      </w:pPr>
      <w:r w:rsidRPr="00B96E04">
        <w:rPr>
          <w:sz w:val="20"/>
          <w:vertAlign w:val="superscript"/>
          <w:lang w:val="en-US"/>
        </w:rPr>
        <w:t>*****</w:t>
      </w:r>
      <w:r w:rsidRPr="00443642">
        <w:rPr>
          <w:sz w:val="20"/>
          <w:lang w:val="en-US"/>
        </w:rPr>
        <w:t xml:space="preserve"> for ammonia and 5% pilot dose of marine diesel oil (MDO)</w:t>
      </w:r>
      <w:r w:rsidR="002D3ADC" w:rsidRPr="00443642">
        <w:rPr>
          <w:sz w:val="20"/>
          <w:lang w:val="en-US"/>
        </w:rPr>
        <w:t>,</w:t>
      </w:r>
    </w:p>
    <w:p w14:paraId="097998D6" w14:textId="065C3A5A" w:rsidR="00DF5778" w:rsidRPr="00443642" w:rsidRDefault="00DF5778" w:rsidP="00DF5778">
      <w:pPr>
        <w:pStyle w:val="Tekst"/>
        <w:ind w:firstLine="0"/>
        <w:rPr>
          <w:sz w:val="20"/>
          <w:lang w:val="en-US"/>
        </w:rPr>
      </w:pPr>
      <w:r w:rsidRPr="00B96E04">
        <w:rPr>
          <w:sz w:val="20"/>
          <w:vertAlign w:val="superscript"/>
          <w:lang w:val="en-US"/>
        </w:rPr>
        <w:t>******</w:t>
      </w:r>
      <w:r w:rsidRPr="00443642">
        <w:rPr>
          <w:sz w:val="20"/>
          <w:lang w:val="en-US"/>
        </w:rPr>
        <w:t xml:space="preserve"> for hydrogen (liquefied) as fuel (LHV</w:t>
      </w:r>
      <w:r w:rsidR="00B96E04">
        <w:rPr>
          <w:sz w:val="20"/>
          <w:lang w:val="en-US"/>
        </w:rPr>
        <w:t xml:space="preserve"> </w:t>
      </w:r>
      <w:r w:rsidRPr="00443642">
        <w:rPr>
          <w:sz w:val="20"/>
          <w:lang w:val="en-US"/>
        </w:rPr>
        <w:t>=</w:t>
      </w:r>
      <w:r w:rsidR="00B96E04">
        <w:rPr>
          <w:sz w:val="20"/>
          <w:lang w:val="en-US"/>
        </w:rPr>
        <w:t xml:space="preserve"> </w:t>
      </w:r>
      <w:r w:rsidRPr="00443642">
        <w:rPr>
          <w:sz w:val="20"/>
          <w:lang w:val="en-US"/>
        </w:rPr>
        <w:t>120 MJ/kg).</w:t>
      </w:r>
    </w:p>
    <w:p w14:paraId="15740FAF" w14:textId="74EB4702" w:rsidR="0037752D" w:rsidRPr="00443642" w:rsidRDefault="00DF5778" w:rsidP="005C088A">
      <w:pPr>
        <w:pStyle w:val="Rn1"/>
        <w:jc w:val="left"/>
      </w:pPr>
      <w:r w:rsidRPr="00443642">
        <w:t>4</w:t>
      </w:r>
      <w:r w:rsidR="0037752D" w:rsidRPr="00443642">
        <w:t xml:space="preserve">. </w:t>
      </w:r>
      <w:r w:rsidR="00A21F77" w:rsidRPr="00443642">
        <w:t>I</w:t>
      </w:r>
      <w:r w:rsidR="003C64F2" w:rsidRPr="00443642">
        <w:t xml:space="preserve">MO </w:t>
      </w:r>
      <w:proofErr w:type="spellStart"/>
      <w:r w:rsidR="003C64F2" w:rsidRPr="00443642">
        <w:t>regulations</w:t>
      </w:r>
      <w:proofErr w:type="spellEnd"/>
      <w:r w:rsidR="003C64F2" w:rsidRPr="00443642">
        <w:t xml:space="preserve"> on CO</w:t>
      </w:r>
      <w:r w:rsidR="003C64F2" w:rsidRPr="00443642">
        <w:rPr>
          <w:vertAlign w:val="subscript"/>
        </w:rPr>
        <w:t>2</w:t>
      </w:r>
      <w:r w:rsidR="003C64F2" w:rsidRPr="00443642">
        <w:t xml:space="preserve"> </w:t>
      </w:r>
      <w:proofErr w:type="spellStart"/>
      <w:r w:rsidR="003C64F2" w:rsidRPr="00443642">
        <w:t>emissions</w:t>
      </w:r>
      <w:proofErr w:type="spellEnd"/>
      <w:r w:rsidR="003C64F2" w:rsidRPr="00443642">
        <w:t xml:space="preserve"> from</w:t>
      </w:r>
      <w:r w:rsidR="006262EF" w:rsidRPr="00443642">
        <w:t xml:space="preserve"> </w:t>
      </w:r>
      <w:proofErr w:type="spellStart"/>
      <w:r w:rsidR="006262EF" w:rsidRPr="00443642">
        <w:t>marine</w:t>
      </w:r>
      <w:proofErr w:type="spellEnd"/>
      <w:r w:rsidR="006262EF" w:rsidRPr="00443642">
        <w:t xml:space="preserve"> diesel </w:t>
      </w:r>
      <w:proofErr w:type="spellStart"/>
      <w:r w:rsidR="006262EF" w:rsidRPr="00443642">
        <w:t>engines</w:t>
      </w:r>
      <w:proofErr w:type="spellEnd"/>
      <w:r w:rsidR="0037752D" w:rsidRPr="00443642">
        <w:t xml:space="preserve"> </w:t>
      </w:r>
    </w:p>
    <w:p w14:paraId="5F9088FC" w14:textId="2F907370" w:rsidR="00911736" w:rsidRPr="00443642" w:rsidRDefault="00911736" w:rsidP="004145CB">
      <w:pPr>
        <w:pStyle w:val="Tekst"/>
        <w:ind w:firstLine="0"/>
        <w:rPr>
          <w:sz w:val="22"/>
          <w:szCs w:val="22"/>
          <w:lang w:val="en-US"/>
        </w:rPr>
      </w:pPr>
      <w:r w:rsidRPr="00443642">
        <w:rPr>
          <w:sz w:val="22"/>
          <w:szCs w:val="22"/>
          <w:lang w:val="en-US"/>
        </w:rPr>
        <w:t xml:space="preserve">International Maritime Organization (IMO) is an agency of </w:t>
      </w:r>
      <w:r w:rsidR="00A90EDD">
        <w:rPr>
          <w:sz w:val="22"/>
          <w:szCs w:val="22"/>
          <w:lang w:val="en-US"/>
        </w:rPr>
        <w:t xml:space="preserve">the </w:t>
      </w:r>
      <w:r w:rsidRPr="00443642">
        <w:rPr>
          <w:sz w:val="22"/>
          <w:szCs w:val="22"/>
          <w:lang w:val="en-US"/>
        </w:rPr>
        <w:t>United Nations (UN). That</w:t>
      </w:r>
      <w:r w:rsidR="00455286" w:rsidRPr="00443642">
        <w:rPr>
          <w:sz w:val="22"/>
          <w:szCs w:val="22"/>
          <w:lang w:val="en-US"/>
        </w:rPr>
        <w:t xml:space="preserve"> worldwide</w:t>
      </w:r>
      <w:r w:rsidRPr="00443642">
        <w:rPr>
          <w:sz w:val="22"/>
          <w:szCs w:val="22"/>
          <w:lang w:val="en-US"/>
        </w:rPr>
        <w:t xml:space="preserve"> </w:t>
      </w:r>
      <w:proofErr w:type="spellStart"/>
      <w:r w:rsidRPr="00443642">
        <w:rPr>
          <w:sz w:val="22"/>
          <w:szCs w:val="22"/>
          <w:lang w:val="en-US"/>
        </w:rPr>
        <w:t>organi</w:t>
      </w:r>
      <w:r w:rsidR="00A90EDD">
        <w:rPr>
          <w:sz w:val="22"/>
          <w:szCs w:val="22"/>
          <w:lang w:val="en-US"/>
        </w:rPr>
        <w:t>s</w:t>
      </w:r>
      <w:r w:rsidRPr="00443642">
        <w:rPr>
          <w:sz w:val="22"/>
          <w:szCs w:val="22"/>
          <w:lang w:val="en-US"/>
        </w:rPr>
        <w:t>ation</w:t>
      </w:r>
      <w:proofErr w:type="spellEnd"/>
      <w:r w:rsidRPr="00443642">
        <w:rPr>
          <w:sz w:val="22"/>
          <w:szCs w:val="22"/>
          <w:lang w:val="en-US"/>
        </w:rPr>
        <w:t xml:space="preserve"> </w:t>
      </w:r>
      <w:r w:rsidR="00A90EDD">
        <w:rPr>
          <w:sz w:val="22"/>
          <w:szCs w:val="22"/>
          <w:lang w:val="en-US"/>
        </w:rPr>
        <w:t>deals</w:t>
      </w:r>
      <w:r w:rsidRPr="00443642">
        <w:rPr>
          <w:sz w:val="22"/>
          <w:szCs w:val="22"/>
          <w:lang w:val="en-US"/>
        </w:rPr>
        <w:t xml:space="preserve"> with international shipping matters. It </w:t>
      </w:r>
      <w:r w:rsidR="00A90EDD">
        <w:rPr>
          <w:sz w:val="22"/>
          <w:szCs w:val="22"/>
          <w:lang w:val="en-US"/>
        </w:rPr>
        <w:t>had</w:t>
      </w:r>
      <w:r w:rsidRPr="00443642">
        <w:rPr>
          <w:sz w:val="22"/>
          <w:szCs w:val="22"/>
          <w:lang w:val="en-US"/>
        </w:rPr>
        <w:t xml:space="preserve"> (</w:t>
      </w:r>
      <w:r w:rsidR="00A90EDD">
        <w:rPr>
          <w:sz w:val="22"/>
          <w:szCs w:val="22"/>
          <w:lang w:val="en-US"/>
        </w:rPr>
        <w:t>at</w:t>
      </w:r>
      <w:r w:rsidRPr="00443642">
        <w:rPr>
          <w:sz w:val="22"/>
          <w:szCs w:val="22"/>
          <w:lang w:val="en-US"/>
        </w:rPr>
        <w:t xml:space="preserve"> </w:t>
      </w:r>
      <w:r w:rsidR="00455286" w:rsidRPr="00443642">
        <w:rPr>
          <w:sz w:val="22"/>
          <w:szCs w:val="22"/>
          <w:lang w:val="en-US"/>
        </w:rPr>
        <w:t xml:space="preserve">the end of </w:t>
      </w:r>
      <w:r w:rsidRPr="00443642">
        <w:rPr>
          <w:sz w:val="22"/>
          <w:szCs w:val="22"/>
          <w:lang w:val="en-US"/>
        </w:rPr>
        <w:t>202</w:t>
      </w:r>
      <w:r w:rsidR="00455286" w:rsidRPr="00443642">
        <w:rPr>
          <w:sz w:val="22"/>
          <w:szCs w:val="22"/>
          <w:lang w:val="en-US"/>
        </w:rPr>
        <w:t>1</w:t>
      </w:r>
      <w:r w:rsidRPr="00443642">
        <w:rPr>
          <w:sz w:val="22"/>
          <w:szCs w:val="22"/>
          <w:lang w:val="en-US"/>
        </w:rPr>
        <w:t xml:space="preserve">) 175 members (States). Many </w:t>
      </w:r>
      <w:proofErr w:type="spellStart"/>
      <w:r w:rsidRPr="00443642">
        <w:rPr>
          <w:sz w:val="22"/>
          <w:szCs w:val="22"/>
          <w:lang w:val="en-US"/>
        </w:rPr>
        <w:t>organi</w:t>
      </w:r>
      <w:r w:rsidR="00A90EDD">
        <w:rPr>
          <w:sz w:val="22"/>
          <w:szCs w:val="22"/>
          <w:lang w:val="en-US"/>
        </w:rPr>
        <w:t>s</w:t>
      </w:r>
      <w:r w:rsidRPr="00443642">
        <w:rPr>
          <w:sz w:val="22"/>
          <w:szCs w:val="22"/>
          <w:lang w:val="en-US"/>
        </w:rPr>
        <w:t>ation</w:t>
      </w:r>
      <w:r w:rsidR="00A90EDD">
        <w:rPr>
          <w:sz w:val="22"/>
          <w:szCs w:val="22"/>
          <w:lang w:val="en-US"/>
        </w:rPr>
        <w:t>s</w:t>
      </w:r>
      <w:proofErr w:type="spellEnd"/>
      <w:r w:rsidRPr="00443642">
        <w:rPr>
          <w:sz w:val="22"/>
          <w:szCs w:val="22"/>
          <w:lang w:val="en-US"/>
        </w:rPr>
        <w:t xml:space="preserve"> (about </w:t>
      </w:r>
      <w:r w:rsidR="007D5330" w:rsidRPr="00443642">
        <w:rPr>
          <w:sz w:val="22"/>
          <w:szCs w:val="22"/>
          <w:lang w:val="en-US"/>
        </w:rPr>
        <w:t>5</w:t>
      </w:r>
      <w:r w:rsidRPr="00443642">
        <w:rPr>
          <w:sz w:val="22"/>
          <w:szCs w:val="22"/>
          <w:lang w:val="en-US"/>
        </w:rPr>
        <w:t>0) work with IMO as advisory members.</w:t>
      </w:r>
      <w:r w:rsidR="00455286" w:rsidRPr="00443642">
        <w:rPr>
          <w:sz w:val="22"/>
          <w:szCs w:val="22"/>
          <w:lang w:val="en-US"/>
        </w:rPr>
        <w:t xml:space="preserve"> </w:t>
      </w:r>
      <w:r w:rsidR="00A90EDD">
        <w:rPr>
          <w:sz w:val="22"/>
          <w:szCs w:val="22"/>
          <w:lang w:val="en-US"/>
        </w:rPr>
        <w:t>O</w:t>
      </w:r>
      <w:r w:rsidR="00455286" w:rsidRPr="00443642">
        <w:rPr>
          <w:sz w:val="22"/>
          <w:szCs w:val="22"/>
          <w:lang w:val="en-US"/>
        </w:rPr>
        <w:t>ne of IMO ideas is “zero carbon” in shipping in 2050. It has prepared a document (IMO Action 2018</w:t>
      </w:r>
      <w:r w:rsidR="007D5330" w:rsidRPr="00443642">
        <w:rPr>
          <w:sz w:val="22"/>
          <w:szCs w:val="22"/>
          <w:lang w:val="en-US"/>
        </w:rPr>
        <w:t>, IMO 2019</w:t>
      </w:r>
      <w:r w:rsidR="00455286" w:rsidRPr="00443642">
        <w:rPr>
          <w:sz w:val="22"/>
          <w:szCs w:val="22"/>
          <w:lang w:val="en-US"/>
        </w:rPr>
        <w:t xml:space="preserve">) </w:t>
      </w:r>
      <w:r w:rsidR="00A90EDD">
        <w:rPr>
          <w:sz w:val="22"/>
          <w:szCs w:val="22"/>
          <w:lang w:val="en-US"/>
        </w:rPr>
        <w:t>presenting</w:t>
      </w:r>
      <w:r w:rsidR="00455286" w:rsidRPr="00443642">
        <w:rPr>
          <w:sz w:val="22"/>
          <w:szCs w:val="22"/>
          <w:lang w:val="en-US"/>
        </w:rPr>
        <w:t xml:space="preserve"> the timetable </w:t>
      </w:r>
      <w:r w:rsidR="00A90EDD">
        <w:rPr>
          <w:sz w:val="22"/>
          <w:szCs w:val="22"/>
          <w:lang w:val="en-US"/>
        </w:rPr>
        <w:t>for</w:t>
      </w:r>
      <w:r w:rsidR="00455286" w:rsidRPr="00443642">
        <w:rPr>
          <w:sz w:val="22"/>
          <w:szCs w:val="22"/>
          <w:lang w:val="en-US"/>
        </w:rPr>
        <w:t xml:space="preserve"> greenhouse gases (GHG) emissions reduction from ships, as follows:</w:t>
      </w:r>
    </w:p>
    <w:p w14:paraId="069A82F6" w14:textId="2461FBCE" w:rsidR="00455286" w:rsidRPr="00443642" w:rsidRDefault="00455286" w:rsidP="00465621">
      <w:pPr>
        <w:pStyle w:val="Tekst"/>
        <w:numPr>
          <w:ilvl w:val="0"/>
          <w:numId w:val="23"/>
        </w:numPr>
        <w:ind w:left="364"/>
        <w:rPr>
          <w:sz w:val="22"/>
          <w:szCs w:val="22"/>
          <w:lang w:val="en-US"/>
        </w:rPr>
      </w:pPr>
      <w:r w:rsidRPr="00443642">
        <w:rPr>
          <w:sz w:val="22"/>
          <w:szCs w:val="22"/>
          <w:lang w:val="en-US"/>
        </w:rPr>
        <w:t>2020 – EEDI phase 2</w:t>
      </w:r>
      <w:r w:rsidR="003744B1" w:rsidRPr="00443642">
        <w:rPr>
          <w:sz w:val="22"/>
          <w:szCs w:val="22"/>
          <w:lang w:val="en-US"/>
        </w:rPr>
        <w:t xml:space="preserve">: up to 20% reduction in </w:t>
      </w:r>
      <w:r w:rsidR="00A90EDD">
        <w:rPr>
          <w:sz w:val="22"/>
          <w:szCs w:val="22"/>
          <w:lang w:val="en-US"/>
        </w:rPr>
        <w:t xml:space="preserve">the </w:t>
      </w:r>
      <w:r w:rsidR="003744B1" w:rsidRPr="00443642">
        <w:rPr>
          <w:sz w:val="22"/>
          <w:szCs w:val="22"/>
          <w:lang w:val="en-US"/>
        </w:rPr>
        <w:t>carbon intensity of the ship for new</w:t>
      </w:r>
      <w:r w:rsidR="00A90EDD">
        <w:rPr>
          <w:sz w:val="22"/>
          <w:szCs w:val="22"/>
          <w:lang w:val="en-US"/>
        </w:rPr>
        <w:t>ly</w:t>
      </w:r>
      <w:r w:rsidR="003744B1" w:rsidRPr="00443642">
        <w:rPr>
          <w:sz w:val="22"/>
          <w:szCs w:val="22"/>
          <w:lang w:val="en-US"/>
        </w:rPr>
        <w:t xml:space="preserve"> built vessels in the design phase – it has been done;</w:t>
      </w:r>
    </w:p>
    <w:p w14:paraId="10DA7593" w14:textId="2E772822" w:rsidR="003744B1" w:rsidRPr="00443642" w:rsidRDefault="003744B1" w:rsidP="00465621">
      <w:pPr>
        <w:pStyle w:val="Tekst"/>
        <w:numPr>
          <w:ilvl w:val="0"/>
          <w:numId w:val="23"/>
        </w:numPr>
        <w:ind w:left="364"/>
        <w:rPr>
          <w:sz w:val="22"/>
          <w:szCs w:val="22"/>
          <w:lang w:val="en-US"/>
        </w:rPr>
      </w:pPr>
      <w:r w:rsidRPr="00443642">
        <w:rPr>
          <w:sz w:val="22"/>
          <w:szCs w:val="22"/>
          <w:lang w:val="en-US"/>
        </w:rPr>
        <w:t xml:space="preserve">2023-2030 – up to 30% reduction in </w:t>
      </w:r>
      <w:r w:rsidR="00A90EDD">
        <w:rPr>
          <w:sz w:val="22"/>
          <w:szCs w:val="22"/>
          <w:lang w:val="en-US"/>
        </w:rPr>
        <w:t xml:space="preserve">the </w:t>
      </w:r>
      <w:r w:rsidRPr="00443642">
        <w:rPr>
          <w:sz w:val="22"/>
          <w:szCs w:val="22"/>
          <w:lang w:val="en-US"/>
        </w:rPr>
        <w:t xml:space="preserve">carbon intensity of the ship. This requirement is up to </w:t>
      </w:r>
      <w:r w:rsidR="00A90EDD">
        <w:rPr>
          <w:sz w:val="22"/>
          <w:szCs w:val="22"/>
          <w:lang w:val="en-US"/>
        </w:rPr>
        <w:t xml:space="preserve">a </w:t>
      </w:r>
      <w:r w:rsidRPr="00443642">
        <w:rPr>
          <w:sz w:val="22"/>
          <w:szCs w:val="22"/>
          <w:lang w:val="en-US"/>
        </w:rPr>
        <w:t xml:space="preserve">50% reduction from 2022 for </w:t>
      </w:r>
      <w:r w:rsidR="00A90EDD">
        <w:rPr>
          <w:sz w:val="22"/>
          <w:szCs w:val="22"/>
          <w:lang w:val="en-US"/>
        </w:rPr>
        <w:t xml:space="preserve">the </w:t>
      </w:r>
      <w:r w:rsidRPr="00443642">
        <w:rPr>
          <w:sz w:val="22"/>
          <w:szCs w:val="22"/>
          <w:lang w:val="en-US"/>
        </w:rPr>
        <w:t>largest containerships;</w:t>
      </w:r>
    </w:p>
    <w:p w14:paraId="333294D2" w14:textId="2C4B6849" w:rsidR="003744B1" w:rsidRPr="00443642" w:rsidRDefault="003744B1" w:rsidP="00465621">
      <w:pPr>
        <w:pStyle w:val="Tekst"/>
        <w:numPr>
          <w:ilvl w:val="0"/>
          <w:numId w:val="23"/>
        </w:numPr>
        <w:ind w:left="364"/>
        <w:rPr>
          <w:sz w:val="22"/>
          <w:szCs w:val="22"/>
          <w:lang w:val="en-US"/>
        </w:rPr>
      </w:pPr>
      <w:r w:rsidRPr="00443642">
        <w:rPr>
          <w:sz w:val="22"/>
          <w:szCs w:val="22"/>
          <w:lang w:val="en-US"/>
        </w:rPr>
        <w:t xml:space="preserve">2030-2050 – long term measures to reduce </w:t>
      </w:r>
      <w:r w:rsidR="00A90EDD">
        <w:rPr>
          <w:sz w:val="22"/>
          <w:szCs w:val="22"/>
          <w:lang w:val="en-US"/>
        </w:rPr>
        <w:t xml:space="preserve">the </w:t>
      </w:r>
      <w:r w:rsidRPr="00443642">
        <w:rPr>
          <w:sz w:val="22"/>
          <w:szCs w:val="22"/>
          <w:lang w:val="en-US"/>
        </w:rPr>
        <w:t>carbon intensity of the fleet by at least 70%;</w:t>
      </w:r>
    </w:p>
    <w:p w14:paraId="43DC1E56" w14:textId="021FCE7B" w:rsidR="003744B1" w:rsidRPr="00443642" w:rsidRDefault="003744B1" w:rsidP="00465621">
      <w:pPr>
        <w:pStyle w:val="Tekst"/>
        <w:numPr>
          <w:ilvl w:val="0"/>
          <w:numId w:val="23"/>
        </w:numPr>
        <w:ind w:left="364"/>
        <w:rPr>
          <w:sz w:val="22"/>
          <w:szCs w:val="22"/>
          <w:lang w:val="en-US"/>
        </w:rPr>
      </w:pPr>
      <w:r w:rsidRPr="00443642">
        <w:rPr>
          <w:sz w:val="22"/>
          <w:szCs w:val="22"/>
          <w:lang w:val="en-US"/>
        </w:rPr>
        <w:t>2050 – at least 50% reduction of total annual GHG emissions. It requires approximately 85% CO</w:t>
      </w:r>
      <w:r w:rsidRPr="00443642">
        <w:rPr>
          <w:sz w:val="22"/>
          <w:szCs w:val="22"/>
          <w:vertAlign w:val="subscript"/>
          <w:lang w:val="en-US"/>
        </w:rPr>
        <w:t>2</w:t>
      </w:r>
      <w:r w:rsidRPr="00443642">
        <w:rPr>
          <w:sz w:val="22"/>
          <w:szCs w:val="22"/>
          <w:lang w:val="en-US"/>
        </w:rPr>
        <w:t xml:space="preserve"> reduction per ship</w:t>
      </w:r>
      <w:r w:rsidR="00A90EDD">
        <w:rPr>
          <w:sz w:val="22"/>
          <w:szCs w:val="22"/>
          <w:lang w:val="en-US"/>
        </w:rPr>
        <w:t>, considering</w:t>
      </w:r>
      <w:r w:rsidRPr="00443642">
        <w:rPr>
          <w:sz w:val="22"/>
          <w:szCs w:val="22"/>
          <w:lang w:val="en-US"/>
        </w:rPr>
        <w:t xml:space="preserve"> the </w:t>
      </w:r>
      <w:r w:rsidR="00085AF5" w:rsidRPr="00443642">
        <w:rPr>
          <w:sz w:val="22"/>
          <w:szCs w:val="22"/>
          <w:lang w:val="en-US"/>
        </w:rPr>
        <w:t xml:space="preserve">carbon dioxide </w:t>
      </w:r>
      <w:r w:rsidRPr="00443642">
        <w:rPr>
          <w:sz w:val="22"/>
          <w:szCs w:val="22"/>
          <w:lang w:val="en-US"/>
        </w:rPr>
        <w:t>equivalent factor</w:t>
      </w:r>
      <w:r w:rsidR="00085AF5" w:rsidRPr="00443642">
        <w:rPr>
          <w:sz w:val="22"/>
          <w:szCs w:val="22"/>
          <w:lang w:val="en-US"/>
        </w:rPr>
        <w:t>s</w:t>
      </w:r>
      <w:r w:rsidRPr="00443642">
        <w:rPr>
          <w:sz w:val="22"/>
          <w:szCs w:val="22"/>
          <w:lang w:val="en-US"/>
        </w:rPr>
        <w:t>.</w:t>
      </w:r>
    </w:p>
    <w:p w14:paraId="3A84555B" w14:textId="6E93B683" w:rsidR="00D235A1" w:rsidRPr="00443642" w:rsidRDefault="00295463" w:rsidP="00AB79FA">
      <w:pPr>
        <w:pStyle w:val="Tekst"/>
        <w:ind w:firstLine="357"/>
        <w:rPr>
          <w:spacing w:val="-2"/>
          <w:sz w:val="22"/>
          <w:szCs w:val="22"/>
          <w:lang w:val="en-US"/>
        </w:rPr>
      </w:pPr>
      <w:r w:rsidRPr="00443642">
        <w:rPr>
          <w:spacing w:val="-2"/>
          <w:sz w:val="22"/>
          <w:szCs w:val="22"/>
          <w:lang w:val="en-US"/>
        </w:rPr>
        <w:lastRenderedPageBreak/>
        <w:t xml:space="preserve">These intentions concern the reduction of emissions expressed in the coefficient </w:t>
      </w:r>
      <w:r w:rsidR="000D7E5F" w:rsidRPr="00443642">
        <w:rPr>
          <w:spacing w:val="-2"/>
          <w:sz w:val="22"/>
          <w:szCs w:val="22"/>
          <w:lang w:val="en-US"/>
        </w:rPr>
        <w:t xml:space="preserve">as the quotient </w:t>
      </w:r>
      <w:r w:rsidRPr="00443642">
        <w:rPr>
          <w:spacing w:val="-2"/>
          <w:sz w:val="22"/>
          <w:szCs w:val="22"/>
          <w:lang w:val="en-US"/>
        </w:rPr>
        <w:t xml:space="preserve">of the amount </w:t>
      </w:r>
      <w:r w:rsidR="00A90EDD">
        <w:rPr>
          <w:spacing w:val="-2"/>
          <w:sz w:val="22"/>
          <w:szCs w:val="22"/>
          <w:lang w:val="en-US"/>
        </w:rPr>
        <w:t xml:space="preserve">of </w:t>
      </w:r>
      <w:r w:rsidRPr="00443642">
        <w:rPr>
          <w:spacing w:val="-2"/>
          <w:sz w:val="22"/>
          <w:szCs w:val="22"/>
          <w:lang w:val="en-US"/>
        </w:rPr>
        <w:t>carbon dioxide emitted for the transport effect achieved</w:t>
      </w:r>
      <w:r w:rsidR="00A90EDD">
        <w:rPr>
          <w:spacing w:val="-2"/>
          <w:sz w:val="22"/>
          <w:szCs w:val="22"/>
          <w:lang w:val="en-US"/>
        </w:rPr>
        <w:t>,</w:t>
      </w:r>
      <w:r w:rsidRPr="00443642">
        <w:rPr>
          <w:spacing w:val="-2"/>
          <w:sz w:val="22"/>
          <w:szCs w:val="22"/>
          <w:lang w:val="en-US"/>
        </w:rPr>
        <w:t xml:space="preserve"> i.e. the mass of cargo and the distance of sailing. Units [g CO</w:t>
      </w:r>
      <w:r w:rsidRPr="00443642">
        <w:rPr>
          <w:spacing w:val="-2"/>
          <w:sz w:val="22"/>
          <w:szCs w:val="22"/>
          <w:vertAlign w:val="subscript"/>
          <w:lang w:val="en-US"/>
        </w:rPr>
        <w:t>2</w:t>
      </w:r>
      <w:r w:rsidRPr="00443642">
        <w:rPr>
          <w:spacing w:val="-2"/>
          <w:sz w:val="22"/>
          <w:szCs w:val="22"/>
          <w:lang w:val="en-US"/>
        </w:rPr>
        <w:t>/ton</w:t>
      </w:r>
      <w:r w:rsidR="002D3ADC" w:rsidRPr="00443642">
        <w:rPr>
          <w:spacing w:val="-2"/>
          <w:sz w:val="22"/>
          <w:szCs w:val="22"/>
          <w:lang w:val="en-US"/>
        </w:rPr>
        <w:t> </w:t>
      </w:r>
      <w:r w:rsidR="00716840" w:rsidRPr="00443642">
        <w:rPr>
          <w:spacing w:val="-2"/>
          <w:sz w:val="22"/>
          <w:szCs w:val="22"/>
          <w:lang w:val="en-US"/>
        </w:rPr>
        <w:t>∙</w:t>
      </w:r>
      <w:r w:rsidR="002D3ADC" w:rsidRPr="00443642">
        <w:rPr>
          <w:spacing w:val="-2"/>
          <w:sz w:val="22"/>
          <w:szCs w:val="22"/>
          <w:lang w:val="en-US"/>
        </w:rPr>
        <w:t> </w:t>
      </w:r>
      <w:r w:rsidR="000D7E5F" w:rsidRPr="00443642">
        <w:rPr>
          <w:spacing w:val="-2"/>
          <w:sz w:val="22"/>
          <w:szCs w:val="22"/>
          <w:lang w:val="en-US"/>
        </w:rPr>
        <w:t>nautical-mile</w:t>
      </w:r>
      <w:r w:rsidRPr="00443642">
        <w:rPr>
          <w:spacing w:val="-2"/>
          <w:sz w:val="22"/>
          <w:szCs w:val="22"/>
          <w:lang w:val="en-US"/>
        </w:rPr>
        <w:t>] are commonly used.</w:t>
      </w:r>
    </w:p>
    <w:p w14:paraId="693000B3" w14:textId="7501DA8F" w:rsidR="001C72CB" w:rsidRPr="00443642" w:rsidRDefault="00A90EDD" w:rsidP="00AB79FA">
      <w:pPr>
        <w:pStyle w:val="Tekst"/>
        <w:ind w:firstLine="357"/>
        <w:rPr>
          <w:sz w:val="22"/>
          <w:szCs w:val="22"/>
          <w:lang w:val="en-US"/>
        </w:rPr>
      </w:pPr>
      <w:r>
        <w:rPr>
          <w:sz w:val="22"/>
          <w:szCs w:val="22"/>
          <w:lang w:val="en-US"/>
        </w:rPr>
        <w:t>Many factors influence the value of this coefficient</w:t>
      </w:r>
      <w:r w:rsidR="001C72CB" w:rsidRPr="00443642">
        <w:rPr>
          <w:sz w:val="22"/>
          <w:szCs w:val="22"/>
          <w:lang w:val="en-US"/>
        </w:rPr>
        <w:t>. A wide variety of solutions has been presented in Fig.</w:t>
      </w:r>
      <w:r w:rsidR="00716840" w:rsidRPr="00443642">
        <w:rPr>
          <w:sz w:val="22"/>
          <w:szCs w:val="22"/>
          <w:lang w:val="en-US"/>
        </w:rPr>
        <w:t xml:space="preserve"> </w:t>
      </w:r>
      <w:r w:rsidR="001C72CB" w:rsidRPr="00443642">
        <w:rPr>
          <w:sz w:val="22"/>
          <w:szCs w:val="22"/>
          <w:lang w:val="en-US"/>
        </w:rPr>
        <w:t xml:space="preserve">2 (IMO Action 2018). They are related to the process of </w:t>
      </w:r>
      <w:proofErr w:type="spellStart"/>
      <w:r w:rsidR="001C72CB" w:rsidRPr="00443642">
        <w:rPr>
          <w:sz w:val="22"/>
          <w:szCs w:val="22"/>
          <w:lang w:val="en-US"/>
        </w:rPr>
        <w:t>optimi</w:t>
      </w:r>
      <w:r>
        <w:rPr>
          <w:sz w:val="22"/>
          <w:szCs w:val="22"/>
          <w:lang w:val="en-US"/>
        </w:rPr>
        <w:t>s</w:t>
      </w:r>
      <w:r w:rsidR="001C72CB" w:rsidRPr="00443642">
        <w:rPr>
          <w:sz w:val="22"/>
          <w:szCs w:val="22"/>
          <w:lang w:val="en-US"/>
        </w:rPr>
        <w:t>ing</w:t>
      </w:r>
      <w:proofErr w:type="spellEnd"/>
      <w:r w:rsidR="001C72CB" w:rsidRPr="00443642">
        <w:rPr>
          <w:sz w:val="22"/>
          <w:szCs w:val="22"/>
          <w:lang w:val="en-US"/>
        </w:rPr>
        <w:t xml:space="preserve"> </w:t>
      </w:r>
      <w:r w:rsidR="00C90AC7" w:rsidRPr="00443642">
        <w:rPr>
          <w:sz w:val="22"/>
          <w:szCs w:val="22"/>
          <w:lang w:val="en-US"/>
        </w:rPr>
        <w:t xml:space="preserve">the shape of the hull (reducing the resistance of the hull immersed in water and protruding parts of the hull and superstructures above the draft line), </w:t>
      </w:r>
      <w:proofErr w:type="spellStart"/>
      <w:r w:rsidR="00C90AC7" w:rsidRPr="00443642">
        <w:rPr>
          <w:sz w:val="22"/>
          <w:szCs w:val="22"/>
          <w:lang w:val="en-US"/>
        </w:rPr>
        <w:t>optimi</w:t>
      </w:r>
      <w:r>
        <w:rPr>
          <w:sz w:val="22"/>
          <w:szCs w:val="22"/>
          <w:lang w:val="en-US"/>
        </w:rPr>
        <w:t>s</w:t>
      </w:r>
      <w:r w:rsidR="00C90AC7" w:rsidRPr="00443642">
        <w:rPr>
          <w:sz w:val="22"/>
          <w:szCs w:val="22"/>
          <w:lang w:val="en-US"/>
        </w:rPr>
        <w:t>ing</w:t>
      </w:r>
      <w:proofErr w:type="spellEnd"/>
      <w:r w:rsidR="00C90AC7" w:rsidRPr="00443642">
        <w:rPr>
          <w:sz w:val="22"/>
          <w:szCs w:val="22"/>
          <w:lang w:val="en-US"/>
        </w:rPr>
        <w:t xml:space="preserve"> the ship’s path, its speed, using fuels with lower carbon content, biofuels or synthetic fuels </w:t>
      </w:r>
      <w:proofErr w:type="spellStart"/>
      <w:r w:rsidR="00C90AC7" w:rsidRPr="00443642">
        <w:rPr>
          <w:sz w:val="22"/>
          <w:szCs w:val="22"/>
          <w:lang w:val="en-US"/>
        </w:rPr>
        <w:t>recogni</w:t>
      </w:r>
      <w:r>
        <w:rPr>
          <w:sz w:val="22"/>
          <w:szCs w:val="22"/>
          <w:lang w:val="en-US"/>
        </w:rPr>
        <w:t>s</w:t>
      </w:r>
      <w:r w:rsidR="00C90AC7" w:rsidRPr="00443642">
        <w:rPr>
          <w:sz w:val="22"/>
          <w:szCs w:val="22"/>
          <w:lang w:val="en-US"/>
        </w:rPr>
        <w:t>ed</w:t>
      </w:r>
      <w:proofErr w:type="spellEnd"/>
      <w:r w:rsidR="00C90AC7" w:rsidRPr="00443642">
        <w:rPr>
          <w:sz w:val="22"/>
          <w:szCs w:val="22"/>
          <w:lang w:val="en-US"/>
        </w:rPr>
        <w:t xml:space="preserve"> as ecological.</w:t>
      </w:r>
    </w:p>
    <w:p w14:paraId="544EB1B9" w14:textId="27F3C591" w:rsidR="001C72CB" w:rsidRPr="00443642" w:rsidRDefault="001C72CB" w:rsidP="001C72CB">
      <w:pPr>
        <w:pStyle w:val="Tekst"/>
        <w:ind w:firstLine="709"/>
        <w:rPr>
          <w:sz w:val="22"/>
          <w:szCs w:val="22"/>
          <w:lang w:val="en-US"/>
        </w:rPr>
      </w:pPr>
    </w:p>
    <w:p w14:paraId="6A04F241" w14:textId="77777777" w:rsidR="001C72CB" w:rsidRPr="00443642" w:rsidRDefault="001C72CB" w:rsidP="001C72CB">
      <w:pPr>
        <w:pStyle w:val="Tekst"/>
        <w:ind w:firstLine="0"/>
        <w:jc w:val="center"/>
        <w:rPr>
          <w:lang w:val="en-US"/>
        </w:rPr>
      </w:pPr>
      <w:r w:rsidRPr="00443642">
        <w:rPr>
          <w:noProof/>
          <w:lang w:val="en-US"/>
        </w:rPr>
        <w:drawing>
          <wp:inline distT="0" distB="0" distL="0" distR="0" wp14:anchorId="1BC269EA" wp14:editId="0C65EB83">
            <wp:extent cx="4377439" cy="2221765"/>
            <wp:effectExtent l="0" t="0" r="4445"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3221" cy="2260228"/>
                    </a:xfrm>
                    <a:prstGeom prst="rect">
                      <a:avLst/>
                    </a:prstGeom>
                    <a:noFill/>
                    <a:ln>
                      <a:noFill/>
                    </a:ln>
                  </pic:spPr>
                </pic:pic>
              </a:graphicData>
            </a:graphic>
          </wp:inline>
        </w:drawing>
      </w:r>
    </w:p>
    <w:p w14:paraId="5ACE8A11" w14:textId="00EF87E6" w:rsidR="001C72CB" w:rsidRPr="00443642" w:rsidRDefault="001C72CB" w:rsidP="00514915">
      <w:pPr>
        <w:pStyle w:val="Rrys"/>
        <w:rPr>
          <w:spacing w:val="-2"/>
          <w:lang w:val="en-US"/>
        </w:rPr>
      </w:pPr>
      <w:r w:rsidRPr="00443642">
        <w:rPr>
          <w:b/>
          <w:spacing w:val="-2"/>
          <w:lang w:val="en-US"/>
        </w:rPr>
        <w:t>Fig. 2.</w:t>
      </w:r>
      <w:r w:rsidRPr="00443642">
        <w:rPr>
          <w:spacing w:val="-2"/>
          <w:lang w:val="en-US"/>
        </w:rPr>
        <w:t xml:space="preserve"> A wide variety of design, operational and economic solutions (IMO Action 2018)</w:t>
      </w:r>
    </w:p>
    <w:p w14:paraId="4D21D368" w14:textId="1B3141B2" w:rsidR="00901101" w:rsidRPr="00443642" w:rsidRDefault="00681868" w:rsidP="005C088A">
      <w:pPr>
        <w:pStyle w:val="Rn1"/>
        <w:jc w:val="left"/>
      </w:pPr>
      <w:r w:rsidRPr="00443642">
        <w:t>5</w:t>
      </w:r>
      <w:r w:rsidR="00901101" w:rsidRPr="00443642">
        <w:t xml:space="preserve">. </w:t>
      </w:r>
      <w:r w:rsidR="003C64F2" w:rsidRPr="00443642">
        <w:t xml:space="preserve">EMSA </w:t>
      </w:r>
      <w:proofErr w:type="spellStart"/>
      <w:r w:rsidR="003C64F2" w:rsidRPr="00443642">
        <w:t>regulations</w:t>
      </w:r>
      <w:proofErr w:type="spellEnd"/>
      <w:r w:rsidR="003C64F2" w:rsidRPr="00443642">
        <w:t xml:space="preserve"> on </w:t>
      </w:r>
      <w:proofErr w:type="spellStart"/>
      <w:r w:rsidR="003C64F2" w:rsidRPr="00443642">
        <w:t>carbon</w:t>
      </w:r>
      <w:proofErr w:type="spellEnd"/>
      <w:r w:rsidR="003C64F2" w:rsidRPr="00443642">
        <w:t xml:space="preserve"> </w:t>
      </w:r>
      <w:proofErr w:type="spellStart"/>
      <w:r w:rsidR="003C64F2" w:rsidRPr="00443642">
        <w:t>dioxide</w:t>
      </w:r>
      <w:proofErr w:type="spellEnd"/>
      <w:r w:rsidR="003C64F2" w:rsidRPr="00443642">
        <w:t xml:space="preserve"> </w:t>
      </w:r>
      <w:proofErr w:type="spellStart"/>
      <w:r w:rsidR="003C64F2" w:rsidRPr="00443642">
        <w:t>emission</w:t>
      </w:r>
      <w:proofErr w:type="spellEnd"/>
      <w:r w:rsidR="003C64F2" w:rsidRPr="00443642">
        <w:t xml:space="preserve"> </w:t>
      </w:r>
      <w:proofErr w:type="spellStart"/>
      <w:r w:rsidR="003C64F2" w:rsidRPr="00443642">
        <w:t>decreasing</w:t>
      </w:r>
      <w:proofErr w:type="spellEnd"/>
      <w:r w:rsidR="003C64F2" w:rsidRPr="00443642">
        <w:t xml:space="preserve"> from </w:t>
      </w:r>
      <w:proofErr w:type="spellStart"/>
      <w:r w:rsidR="003C64F2" w:rsidRPr="00443642">
        <w:t>marine</w:t>
      </w:r>
      <w:proofErr w:type="spellEnd"/>
      <w:r w:rsidR="003C64F2" w:rsidRPr="00443642">
        <w:t xml:space="preserve"> diesel </w:t>
      </w:r>
      <w:proofErr w:type="spellStart"/>
      <w:r w:rsidR="003C64F2" w:rsidRPr="00443642">
        <w:t>engines</w:t>
      </w:r>
      <w:proofErr w:type="spellEnd"/>
      <w:r w:rsidR="003C64F2" w:rsidRPr="00443642">
        <w:t xml:space="preserve">. </w:t>
      </w:r>
      <w:r w:rsidR="00544221" w:rsidRPr="00443642">
        <w:t xml:space="preserve">EU </w:t>
      </w:r>
      <w:proofErr w:type="spellStart"/>
      <w:r w:rsidR="00544221" w:rsidRPr="00443642">
        <w:t>action</w:t>
      </w:r>
      <w:proofErr w:type="spellEnd"/>
      <w:r w:rsidR="00544221" w:rsidRPr="00443642">
        <w:t xml:space="preserve"> “</w:t>
      </w:r>
      <w:r w:rsidR="003C64F2" w:rsidRPr="00443642">
        <w:t>Fit for 55</w:t>
      </w:r>
      <w:r w:rsidR="00544221" w:rsidRPr="00443642">
        <w:t>”</w:t>
      </w:r>
      <w:r w:rsidR="003C64F2" w:rsidRPr="00443642">
        <w:t xml:space="preserve"> for </w:t>
      </w:r>
      <w:r w:rsidR="003C64F2" w:rsidRPr="002F23D8">
        <w:rPr>
          <w:lang w:val="en-GB"/>
        </w:rPr>
        <w:t>marine</w:t>
      </w:r>
      <w:r w:rsidR="003C64F2" w:rsidRPr="00443642">
        <w:t xml:space="preserve"> transport</w:t>
      </w:r>
    </w:p>
    <w:p w14:paraId="3CD5956E" w14:textId="34A9E84D" w:rsidR="004C64CB" w:rsidRPr="00443642" w:rsidRDefault="00C90AC7" w:rsidP="00514915">
      <w:pPr>
        <w:pStyle w:val="Tekst"/>
        <w:ind w:firstLine="0"/>
        <w:rPr>
          <w:sz w:val="22"/>
          <w:szCs w:val="22"/>
          <w:lang w:val="en-US"/>
        </w:rPr>
      </w:pPr>
      <w:r w:rsidRPr="00443642">
        <w:rPr>
          <w:sz w:val="22"/>
          <w:szCs w:val="22"/>
          <w:lang w:val="en-US"/>
        </w:rPr>
        <w:t>Carbon dioxide emission from marine transport has been monitored due to (Directive 2015</w:t>
      </w:r>
      <w:r w:rsidR="00EB40F2" w:rsidRPr="00443642">
        <w:rPr>
          <w:sz w:val="22"/>
          <w:szCs w:val="22"/>
          <w:lang w:val="en-US"/>
        </w:rPr>
        <w:t xml:space="preserve">, </w:t>
      </w:r>
      <w:r w:rsidR="00A90EDD">
        <w:rPr>
          <w:sz w:val="22"/>
          <w:szCs w:val="22"/>
          <w:lang w:val="en-US"/>
        </w:rPr>
        <w:t xml:space="preserve">and </w:t>
      </w:r>
      <w:r w:rsidR="00EB40F2" w:rsidRPr="00443642">
        <w:rPr>
          <w:sz w:val="22"/>
          <w:szCs w:val="22"/>
          <w:lang w:val="en-US"/>
        </w:rPr>
        <w:t>Directive 2018</w:t>
      </w:r>
      <w:r w:rsidRPr="00443642">
        <w:rPr>
          <w:sz w:val="22"/>
          <w:szCs w:val="22"/>
          <w:lang w:val="en-US"/>
        </w:rPr>
        <w:t xml:space="preserve">). </w:t>
      </w:r>
      <w:r w:rsidR="008412EB" w:rsidRPr="00443642">
        <w:rPr>
          <w:sz w:val="22"/>
          <w:szCs w:val="22"/>
          <w:lang w:val="en-US"/>
        </w:rPr>
        <w:t>On 14 July 2021</w:t>
      </w:r>
      <w:r w:rsidR="00A90EDD">
        <w:rPr>
          <w:sz w:val="22"/>
          <w:szCs w:val="22"/>
          <w:lang w:val="en-US"/>
        </w:rPr>
        <w:t>,</w:t>
      </w:r>
      <w:r w:rsidR="008412EB" w:rsidRPr="00443642">
        <w:rPr>
          <w:sz w:val="22"/>
          <w:szCs w:val="22"/>
          <w:lang w:val="en-US"/>
        </w:rPr>
        <w:t xml:space="preserve"> the European Commission adopted the EU’s “Fit for 55” package. </w:t>
      </w:r>
      <w:r w:rsidR="00A90EDD">
        <w:rPr>
          <w:sz w:val="22"/>
          <w:szCs w:val="22"/>
          <w:lang w:val="en-US"/>
        </w:rPr>
        <w:t>In order t</w:t>
      </w:r>
      <w:r w:rsidR="008412EB" w:rsidRPr="00443642">
        <w:rPr>
          <w:sz w:val="22"/>
          <w:szCs w:val="22"/>
          <w:lang w:val="en-US"/>
        </w:rPr>
        <w:t>o achieve climate neutrality by 2050, a</w:t>
      </w:r>
      <w:r w:rsidR="00716840" w:rsidRPr="00443642">
        <w:rPr>
          <w:sz w:val="22"/>
          <w:szCs w:val="22"/>
          <w:lang w:val="en-US"/>
        </w:rPr>
        <w:t> </w:t>
      </w:r>
      <w:r w:rsidR="008412EB" w:rsidRPr="00443642">
        <w:rPr>
          <w:sz w:val="22"/>
          <w:szCs w:val="22"/>
          <w:lang w:val="en-US"/>
        </w:rPr>
        <w:t xml:space="preserve">90% reduction in overall transport emissions is needed. Four of </w:t>
      </w:r>
      <w:r w:rsidR="00A90EDD">
        <w:rPr>
          <w:sz w:val="22"/>
          <w:szCs w:val="22"/>
          <w:lang w:val="en-US"/>
        </w:rPr>
        <w:t xml:space="preserve">the </w:t>
      </w:r>
      <w:r w:rsidR="008412EB" w:rsidRPr="00443642">
        <w:rPr>
          <w:sz w:val="22"/>
          <w:szCs w:val="22"/>
          <w:lang w:val="en-US"/>
        </w:rPr>
        <w:t xml:space="preserve">ten proposals of that package are directly related to maritime. </w:t>
      </w:r>
      <w:r w:rsidR="004C64CB" w:rsidRPr="00443642">
        <w:rPr>
          <w:sz w:val="22"/>
          <w:szCs w:val="22"/>
          <w:lang w:val="en-US"/>
        </w:rPr>
        <w:t xml:space="preserve">Two of </w:t>
      </w:r>
      <w:r w:rsidR="00A90EDD">
        <w:rPr>
          <w:sz w:val="22"/>
          <w:szCs w:val="22"/>
          <w:lang w:val="en-US"/>
        </w:rPr>
        <w:t xml:space="preserve">the </w:t>
      </w:r>
      <w:r w:rsidR="004C64CB" w:rsidRPr="00443642">
        <w:rPr>
          <w:sz w:val="22"/>
          <w:szCs w:val="22"/>
          <w:lang w:val="en-US"/>
        </w:rPr>
        <w:t>four are as follows:</w:t>
      </w:r>
    </w:p>
    <w:p w14:paraId="32A90DBE" w14:textId="70B17B87" w:rsidR="004C64CB" w:rsidRDefault="00A90EDD" w:rsidP="00465621">
      <w:pPr>
        <w:pStyle w:val="Tekst"/>
        <w:numPr>
          <w:ilvl w:val="0"/>
          <w:numId w:val="24"/>
        </w:numPr>
        <w:ind w:left="350"/>
        <w:rPr>
          <w:sz w:val="22"/>
          <w:szCs w:val="22"/>
          <w:lang w:val="en-US"/>
        </w:rPr>
      </w:pPr>
      <w:r>
        <w:rPr>
          <w:sz w:val="22"/>
          <w:szCs w:val="22"/>
          <w:lang w:val="en-US"/>
        </w:rPr>
        <w:t>R</w:t>
      </w:r>
      <w:r w:rsidR="004C64CB">
        <w:rPr>
          <w:sz w:val="22"/>
          <w:szCs w:val="22"/>
          <w:lang w:val="en-US"/>
        </w:rPr>
        <w:t xml:space="preserve">evision of </w:t>
      </w:r>
      <w:r w:rsidR="004C64CB" w:rsidRPr="004272CE">
        <w:rPr>
          <w:i/>
          <w:iCs/>
          <w:sz w:val="22"/>
          <w:szCs w:val="22"/>
          <w:lang w:val="en-US"/>
        </w:rPr>
        <w:t>the EU’s Emission Trading System</w:t>
      </w:r>
      <w:r w:rsidR="004C64CB">
        <w:rPr>
          <w:sz w:val="22"/>
          <w:szCs w:val="22"/>
          <w:lang w:val="en-US"/>
        </w:rPr>
        <w:t xml:space="preserve"> (ETS) which t</w:t>
      </w:r>
      <w:r w:rsidR="008412EB">
        <w:rPr>
          <w:sz w:val="22"/>
          <w:szCs w:val="22"/>
          <w:lang w:val="en-US"/>
        </w:rPr>
        <w:t>he European Commission proposes to gradually extend to the maritime sector over the period 2023-2025</w:t>
      </w:r>
      <w:r w:rsidR="00716840">
        <w:rPr>
          <w:sz w:val="22"/>
          <w:szCs w:val="22"/>
          <w:lang w:val="en-US"/>
        </w:rPr>
        <w:t>;</w:t>
      </w:r>
    </w:p>
    <w:p w14:paraId="7606D549" w14:textId="3A4FEF1A" w:rsidR="00C90AC7" w:rsidRDefault="004C64CB" w:rsidP="00465621">
      <w:pPr>
        <w:pStyle w:val="Tekst"/>
        <w:numPr>
          <w:ilvl w:val="0"/>
          <w:numId w:val="24"/>
        </w:numPr>
        <w:ind w:left="350"/>
        <w:rPr>
          <w:sz w:val="22"/>
          <w:szCs w:val="22"/>
          <w:lang w:val="en-US"/>
        </w:rPr>
      </w:pPr>
      <w:proofErr w:type="spellStart"/>
      <w:r w:rsidRPr="004272CE">
        <w:rPr>
          <w:i/>
          <w:iCs/>
          <w:sz w:val="22"/>
          <w:szCs w:val="22"/>
          <w:lang w:val="en-US"/>
        </w:rPr>
        <w:t>FuelEU</w:t>
      </w:r>
      <w:proofErr w:type="spellEnd"/>
      <w:r w:rsidRPr="004272CE">
        <w:rPr>
          <w:i/>
          <w:iCs/>
          <w:sz w:val="22"/>
          <w:szCs w:val="22"/>
          <w:lang w:val="en-US"/>
        </w:rPr>
        <w:t xml:space="preserve"> Maritime</w:t>
      </w:r>
      <w:r>
        <w:rPr>
          <w:sz w:val="22"/>
          <w:szCs w:val="22"/>
          <w:lang w:val="en-US"/>
        </w:rPr>
        <w:t xml:space="preserve"> </w:t>
      </w:r>
      <w:r w:rsidR="00A90EDD">
        <w:rPr>
          <w:sz w:val="22"/>
          <w:szCs w:val="22"/>
          <w:lang w:val="en-US"/>
        </w:rPr>
        <w:t>aims to stimulate</w:t>
      </w:r>
      <w:r>
        <w:rPr>
          <w:sz w:val="22"/>
          <w:szCs w:val="22"/>
          <w:lang w:val="en-US"/>
        </w:rPr>
        <w:t xml:space="preserve"> the production and use of low or zero</w:t>
      </w:r>
      <w:r w:rsidR="00A90EDD">
        <w:rPr>
          <w:sz w:val="22"/>
          <w:szCs w:val="22"/>
          <w:lang w:val="en-US"/>
        </w:rPr>
        <w:t>-</w:t>
      </w:r>
      <w:r>
        <w:rPr>
          <w:sz w:val="22"/>
          <w:szCs w:val="22"/>
          <w:lang w:val="en-US"/>
        </w:rPr>
        <w:t>carbon, sustainable fuels.</w:t>
      </w:r>
    </w:p>
    <w:p w14:paraId="1E47A3ED" w14:textId="3AAEBC96" w:rsidR="00C90AC7" w:rsidRDefault="004C64CB" w:rsidP="00AB79FA">
      <w:pPr>
        <w:pStyle w:val="Tekst"/>
        <w:ind w:firstLine="357"/>
        <w:rPr>
          <w:sz w:val="22"/>
          <w:szCs w:val="22"/>
          <w:lang w:val="en-US"/>
        </w:rPr>
      </w:pPr>
      <w:r>
        <w:rPr>
          <w:sz w:val="22"/>
          <w:szCs w:val="22"/>
          <w:lang w:val="en-US"/>
        </w:rPr>
        <w:lastRenderedPageBreak/>
        <w:t xml:space="preserve">The </w:t>
      </w:r>
      <w:r w:rsidR="004D51A8">
        <w:rPr>
          <w:sz w:val="22"/>
          <w:szCs w:val="22"/>
          <w:lang w:val="en-US"/>
        </w:rPr>
        <w:t xml:space="preserve">target </w:t>
      </w:r>
      <w:r w:rsidR="00A90EDD">
        <w:rPr>
          <w:sz w:val="22"/>
          <w:szCs w:val="22"/>
          <w:lang w:val="en-US"/>
        </w:rPr>
        <w:t>reflects</w:t>
      </w:r>
      <w:r w:rsidR="004D51A8">
        <w:rPr>
          <w:sz w:val="22"/>
          <w:szCs w:val="22"/>
          <w:lang w:val="en-US"/>
        </w:rPr>
        <w:t xml:space="preserve"> the fleet GHG emission and energy used onboard by ships in 2020 and reduced by </w:t>
      </w:r>
      <w:r w:rsidR="00A90EDD">
        <w:rPr>
          <w:sz w:val="22"/>
          <w:szCs w:val="22"/>
          <w:lang w:val="en-US"/>
        </w:rPr>
        <w:t xml:space="preserve">the </w:t>
      </w:r>
      <w:r w:rsidR="004D51A8">
        <w:rPr>
          <w:sz w:val="22"/>
          <w:szCs w:val="22"/>
          <w:lang w:val="en-US"/>
        </w:rPr>
        <w:t>following percentages: 2% by 2025, 6% by 2030, 13% by 2035, 26% by 2040, 59% by 2045 and 75% by 2050.</w:t>
      </w:r>
    </w:p>
    <w:p w14:paraId="1C58EB38" w14:textId="3B1FE03F" w:rsidR="004D51A8" w:rsidRDefault="00FD4D7B" w:rsidP="00AB79FA">
      <w:pPr>
        <w:pStyle w:val="Tekst"/>
        <w:ind w:firstLine="357"/>
        <w:rPr>
          <w:sz w:val="22"/>
          <w:szCs w:val="22"/>
          <w:lang w:val="en-US"/>
        </w:rPr>
      </w:pPr>
      <w:r>
        <w:rPr>
          <w:sz w:val="22"/>
          <w:szCs w:val="22"/>
          <w:lang w:val="en-US"/>
        </w:rPr>
        <w:t>The other proposals (plans) are:</w:t>
      </w:r>
    </w:p>
    <w:p w14:paraId="50EAAC26" w14:textId="3F3C39ED" w:rsidR="00FD4D7B" w:rsidRDefault="00A90EDD" w:rsidP="0051286F">
      <w:pPr>
        <w:pStyle w:val="Tekst"/>
        <w:numPr>
          <w:ilvl w:val="0"/>
          <w:numId w:val="25"/>
        </w:numPr>
        <w:ind w:left="378"/>
        <w:rPr>
          <w:sz w:val="22"/>
          <w:szCs w:val="22"/>
          <w:lang w:val="en-US"/>
        </w:rPr>
      </w:pPr>
      <w:r>
        <w:rPr>
          <w:sz w:val="22"/>
          <w:szCs w:val="22"/>
          <w:lang w:val="en-US"/>
        </w:rPr>
        <w:t>A</w:t>
      </w:r>
      <w:r w:rsidR="00FD4D7B">
        <w:rPr>
          <w:sz w:val="22"/>
          <w:szCs w:val="22"/>
          <w:lang w:val="en-US"/>
        </w:rPr>
        <w:t xml:space="preserve"> proposition of tax on bunker fuels (a minimum 0.9€ per GJ from 1 January 2023) for intra-European maritime voyages with </w:t>
      </w:r>
      <w:r>
        <w:rPr>
          <w:sz w:val="22"/>
          <w:szCs w:val="22"/>
          <w:lang w:val="en-US"/>
        </w:rPr>
        <w:t xml:space="preserve">the </w:t>
      </w:r>
      <w:r w:rsidR="00FD4D7B">
        <w:rPr>
          <w:sz w:val="22"/>
          <w:szCs w:val="22"/>
          <w:lang w:val="en-US"/>
        </w:rPr>
        <w:t>exemption of ammonia and advanced biofuels</w:t>
      </w:r>
      <w:r w:rsidR="00716840">
        <w:rPr>
          <w:sz w:val="22"/>
          <w:szCs w:val="22"/>
          <w:lang w:val="en-US"/>
        </w:rPr>
        <w:t>;</w:t>
      </w:r>
    </w:p>
    <w:p w14:paraId="555CDD5D" w14:textId="50CAACD1" w:rsidR="00A052A5" w:rsidRDefault="00A90EDD" w:rsidP="0051286F">
      <w:pPr>
        <w:pStyle w:val="Tekst"/>
        <w:numPr>
          <w:ilvl w:val="0"/>
          <w:numId w:val="25"/>
        </w:numPr>
        <w:ind w:left="378"/>
        <w:rPr>
          <w:sz w:val="22"/>
          <w:szCs w:val="22"/>
          <w:lang w:val="en-US"/>
        </w:rPr>
      </w:pPr>
      <w:r>
        <w:rPr>
          <w:sz w:val="22"/>
          <w:szCs w:val="22"/>
          <w:lang w:val="en-US"/>
        </w:rPr>
        <w:t>S</w:t>
      </w:r>
      <w:r w:rsidR="00FD4D7B">
        <w:rPr>
          <w:sz w:val="22"/>
          <w:szCs w:val="22"/>
          <w:lang w:val="en-US"/>
        </w:rPr>
        <w:t>upport the use of clean fuels at birth</w:t>
      </w:r>
      <w:r w:rsidR="00A052A5">
        <w:rPr>
          <w:sz w:val="22"/>
          <w:szCs w:val="22"/>
          <w:lang w:val="en-US"/>
        </w:rPr>
        <w:t>, requires to ensure a shore-side electricity supply for sea-going container and passenger vessels in maritime ports by 1 January 2030</w:t>
      </w:r>
      <w:r w:rsidR="00716840">
        <w:rPr>
          <w:sz w:val="22"/>
          <w:szCs w:val="22"/>
          <w:lang w:val="en-US"/>
        </w:rPr>
        <w:t>;</w:t>
      </w:r>
    </w:p>
    <w:p w14:paraId="23DB6E32" w14:textId="7024744C" w:rsidR="00FD4D7B" w:rsidRPr="00191E0D" w:rsidRDefault="00A052A5" w:rsidP="00191E0D">
      <w:pPr>
        <w:pStyle w:val="Tekst"/>
        <w:numPr>
          <w:ilvl w:val="0"/>
          <w:numId w:val="25"/>
        </w:numPr>
        <w:ind w:left="364" w:hanging="346"/>
        <w:rPr>
          <w:spacing w:val="-4"/>
          <w:sz w:val="22"/>
          <w:szCs w:val="22"/>
          <w:lang w:val="en-US"/>
        </w:rPr>
      </w:pPr>
      <w:r w:rsidRPr="00191E0D">
        <w:rPr>
          <w:spacing w:val="-4"/>
          <w:sz w:val="22"/>
          <w:szCs w:val="22"/>
          <w:lang w:val="en-US"/>
        </w:rPr>
        <w:t xml:space="preserve">Member States are required to ensure that an appropriate number of </w:t>
      </w:r>
      <w:proofErr w:type="spellStart"/>
      <w:r w:rsidRPr="00191E0D">
        <w:rPr>
          <w:spacing w:val="-4"/>
          <w:sz w:val="22"/>
          <w:szCs w:val="22"/>
          <w:lang w:val="en-US"/>
        </w:rPr>
        <w:t>refue</w:t>
      </w:r>
      <w:r w:rsidR="00A90EDD">
        <w:rPr>
          <w:spacing w:val="-4"/>
          <w:sz w:val="22"/>
          <w:szCs w:val="22"/>
          <w:lang w:val="en-US"/>
        </w:rPr>
        <w:t>l</w:t>
      </w:r>
      <w:r w:rsidRPr="00191E0D">
        <w:rPr>
          <w:spacing w:val="-4"/>
          <w:sz w:val="22"/>
          <w:szCs w:val="22"/>
          <w:lang w:val="en-US"/>
        </w:rPr>
        <w:t>ling</w:t>
      </w:r>
      <w:proofErr w:type="spellEnd"/>
      <w:r w:rsidRPr="00191E0D">
        <w:rPr>
          <w:spacing w:val="-4"/>
          <w:sz w:val="22"/>
          <w:szCs w:val="22"/>
          <w:lang w:val="en-US"/>
        </w:rPr>
        <w:t xml:space="preserve"> point</w:t>
      </w:r>
      <w:r w:rsidR="00A90EDD">
        <w:rPr>
          <w:spacing w:val="-4"/>
          <w:sz w:val="22"/>
          <w:szCs w:val="22"/>
          <w:lang w:val="en-US"/>
        </w:rPr>
        <w:t>s</w:t>
      </w:r>
      <w:r w:rsidRPr="00191E0D">
        <w:rPr>
          <w:spacing w:val="-4"/>
          <w:sz w:val="22"/>
          <w:szCs w:val="22"/>
          <w:lang w:val="en-US"/>
        </w:rPr>
        <w:t xml:space="preserve"> for LNG are put in place at TEN-T core maritime ports by 1 January 2025.</w:t>
      </w:r>
    </w:p>
    <w:p w14:paraId="757AD660" w14:textId="77777777" w:rsidR="00716840" w:rsidRDefault="00716840" w:rsidP="00901101">
      <w:pPr>
        <w:pStyle w:val="Tekst"/>
        <w:ind w:firstLine="708"/>
        <w:rPr>
          <w:sz w:val="22"/>
          <w:szCs w:val="22"/>
          <w:lang w:val="en-US"/>
        </w:rPr>
      </w:pPr>
    </w:p>
    <w:p w14:paraId="501FC6D6" w14:textId="2345EDF6" w:rsidR="00FD4D7B" w:rsidRDefault="00A052A5" w:rsidP="00AB79FA">
      <w:pPr>
        <w:pStyle w:val="Tekst"/>
        <w:ind w:firstLine="357"/>
        <w:rPr>
          <w:sz w:val="22"/>
          <w:szCs w:val="22"/>
          <w:lang w:val="en-US"/>
        </w:rPr>
      </w:pPr>
      <w:r>
        <w:rPr>
          <w:sz w:val="22"/>
          <w:szCs w:val="22"/>
          <w:lang w:val="en-US"/>
        </w:rPr>
        <w:t xml:space="preserve">The last requirement </w:t>
      </w:r>
      <w:r w:rsidR="004272CE">
        <w:rPr>
          <w:sz w:val="22"/>
          <w:szCs w:val="22"/>
          <w:lang w:val="en-US"/>
        </w:rPr>
        <w:t xml:space="preserve">poses </w:t>
      </w:r>
      <w:r w:rsidR="00A90EDD">
        <w:rPr>
          <w:sz w:val="22"/>
          <w:szCs w:val="22"/>
          <w:lang w:val="en-US"/>
        </w:rPr>
        <w:t>financial severe</w:t>
      </w:r>
      <w:r w:rsidR="004272CE">
        <w:rPr>
          <w:sz w:val="22"/>
          <w:szCs w:val="22"/>
          <w:lang w:val="en-US"/>
        </w:rPr>
        <w:t xml:space="preserve"> risks related to investments in the LNG bunkering network in ports in the context of the possible recognition of</w:t>
      </w:r>
      <w:r w:rsidR="003334EF">
        <w:rPr>
          <w:sz w:val="22"/>
          <w:szCs w:val="22"/>
          <w:lang w:val="en-US"/>
        </w:rPr>
        <w:t> </w:t>
      </w:r>
      <w:r w:rsidR="004272CE">
        <w:rPr>
          <w:sz w:val="22"/>
          <w:szCs w:val="22"/>
          <w:lang w:val="en-US"/>
        </w:rPr>
        <w:t>LNG as transi</w:t>
      </w:r>
      <w:r w:rsidR="00F96331">
        <w:rPr>
          <w:sz w:val="22"/>
          <w:szCs w:val="22"/>
          <w:lang w:val="en-US"/>
        </w:rPr>
        <w:t>en</w:t>
      </w:r>
      <w:r w:rsidR="004272CE">
        <w:rPr>
          <w:sz w:val="22"/>
          <w:szCs w:val="22"/>
          <w:lang w:val="en-US"/>
        </w:rPr>
        <w:t xml:space="preserve">t fuel with the possibility of its use as a marine fuel </w:t>
      </w:r>
      <w:r w:rsidR="00A90EDD">
        <w:rPr>
          <w:sz w:val="22"/>
          <w:szCs w:val="22"/>
          <w:lang w:val="en-US"/>
        </w:rPr>
        <w:t>for</w:t>
      </w:r>
      <w:r w:rsidR="004272CE">
        <w:rPr>
          <w:sz w:val="22"/>
          <w:szCs w:val="22"/>
          <w:lang w:val="en-US"/>
        </w:rPr>
        <w:t xml:space="preserve"> only 10-20 years.</w:t>
      </w:r>
    </w:p>
    <w:p w14:paraId="433B8457" w14:textId="35448357" w:rsidR="001D41EC" w:rsidRDefault="00514915" w:rsidP="0051286F">
      <w:pPr>
        <w:pStyle w:val="Rn1"/>
        <w:ind w:left="14" w:hanging="14"/>
        <w:jc w:val="left"/>
      </w:pPr>
      <w:r>
        <w:t>6</w:t>
      </w:r>
      <w:r w:rsidR="001D41EC">
        <w:t xml:space="preserve">. </w:t>
      </w:r>
      <w:r w:rsidR="004344B4">
        <w:t xml:space="preserve">Environment </w:t>
      </w:r>
      <w:proofErr w:type="spellStart"/>
      <w:r w:rsidR="004344B4">
        <w:t>effect</w:t>
      </w:r>
      <w:proofErr w:type="spellEnd"/>
      <w:r w:rsidR="004344B4">
        <w:t xml:space="preserve"> of </w:t>
      </w:r>
      <w:proofErr w:type="spellStart"/>
      <w:r w:rsidR="00D23F9F">
        <w:t>liquefied</w:t>
      </w:r>
      <w:proofErr w:type="spellEnd"/>
      <w:r w:rsidR="00D23F9F">
        <w:t xml:space="preserve"> </w:t>
      </w:r>
      <w:proofErr w:type="spellStart"/>
      <w:r w:rsidR="00D23F9F">
        <w:t>natural</w:t>
      </w:r>
      <w:proofErr w:type="spellEnd"/>
      <w:r w:rsidR="00D23F9F">
        <w:t xml:space="preserve"> </w:t>
      </w:r>
      <w:proofErr w:type="spellStart"/>
      <w:r w:rsidR="00D23F9F">
        <w:t>gas</w:t>
      </w:r>
      <w:proofErr w:type="spellEnd"/>
      <w:r w:rsidR="00D23F9F">
        <w:t xml:space="preserve"> as a </w:t>
      </w:r>
      <w:proofErr w:type="spellStart"/>
      <w:r w:rsidR="00D23F9F">
        <w:t>marine</w:t>
      </w:r>
      <w:proofErr w:type="spellEnd"/>
      <w:r w:rsidR="00D23F9F">
        <w:t xml:space="preserve"> </w:t>
      </w:r>
      <w:proofErr w:type="spellStart"/>
      <w:r w:rsidR="00D23F9F">
        <w:t>fuel</w:t>
      </w:r>
      <w:proofErr w:type="spellEnd"/>
      <w:r w:rsidR="00D36B03">
        <w:t xml:space="preserve">. </w:t>
      </w:r>
      <w:r w:rsidR="00716840">
        <w:br/>
      </w:r>
      <w:r w:rsidR="00D36B03" w:rsidRPr="0051286F">
        <w:rPr>
          <w:lang w:val="en-GB"/>
        </w:rPr>
        <w:t>Is LNG a transient fuel?</w:t>
      </w:r>
    </w:p>
    <w:p w14:paraId="552F2D16" w14:textId="014EA8E2" w:rsidR="00777C01" w:rsidRDefault="00777C01" w:rsidP="004145CB">
      <w:pPr>
        <w:pStyle w:val="Tekst"/>
        <w:ind w:firstLine="0"/>
        <w:rPr>
          <w:sz w:val="22"/>
          <w:szCs w:val="22"/>
          <w:lang w:val="en-US"/>
        </w:rPr>
      </w:pPr>
      <w:r>
        <w:rPr>
          <w:sz w:val="22"/>
          <w:szCs w:val="22"/>
          <w:lang w:val="en-US"/>
        </w:rPr>
        <w:t xml:space="preserve">More than 100,000 ships are </w:t>
      </w:r>
      <w:r w:rsidR="004D51A8">
        <w:rPr>
          <w:sz w:val="22"/>
          <w:szCs w:val="22"/>
          <w:lang w:val="en-US"/>
        </w:rPr>
        <w:t xml:space="preserve">in service </w:t>
      </w:r>
      <w:r>
        <w:rPr>
          <w:sz w:val="22"/>
          <w:szCs w:val="22"/>
          <w:lang w:val="en-US"/>
        </w:rPr>
        <w:t xml:space="preserve">in international shipping. In 2020, alternative fuels were used on 169 LNG-fueled, </w:t>
      </w:r>
      <w:r w:rsidR="00A90EDD">
        <w:rPr>
          <w:sz w:val="22"/>
          <w:szCs w:val="22"/>
          <w:lang w:val="en-US"/>
        </w:rPr>
        <w:t>ten</w:t>
      </w:r>
      <w:r>
        <w:rPr>
          <w:sz w:val="22"/>
          <w:szCs w:val="22"/>
          <w:lang w:val="en-US"/>
        </w:rPr>
        <w:t xml:space="preserve"> methanol-fueled, 12 LPG-fueled and </w:t>
      </w:r>
      <w:r w:rsidR="00A90EDD">
        <w:rPr>
          <w:sz w:val="22"/>
          <w:szCs w:val="22"/>
          <w:lang w:val="en-US"/>
        </w:rPr>
        <w:t>two</w:t>
      </w:r>
      <w:r>
        <w:rPr>
          <w:sz w:val="22"/>
          <w:szCs w:val="22"/>
          <w:lang w:val="en-US"/>
        </w:rPr>
        <w:t xml:space="preserve"> ethane-fueled vessels in operation worldwide, which is about 0.2% of the world’s fleet.</w:t>
      </w:r>
    </w:p>
    <w:p w14:paraId="1ABB01C7" w14:textId="41B1A0EC" w:rsidR="00777C01" w:rsidRDefault="00F96331" w:rsidP="00AB79FA">
      <w:pPr>
        <w:pStyle w:val="Tekst"/>
        <w:ind w:firstLine="357"/>
        <w:rPr>
          <w:sz w:val="22"/>
          <w:szCs w:val="22"/>
          <w:lang w:val="en-US"/>
        </w:rPr>
      </w:pPr>
      <w:r>
        <w:rPr>
          <w:sz w:val="22"/>
          <w:szCs w:val="22"/>
          <w:lang w:val="en-US"/>
        </w:rPr>
        <w:t xml:space="preserve">For this reason, changes in </w:t>
      </w:r>
      <w:r w:rsidR="00A90EDD">
        <w:rPr>
          <w:sz w:val="22"/>
          <w:szCs w:val="22"/>
          <w:lang w:val="en-US"/>
        </w:rPr>
        <w:t xml:space="preserve">the </w:t>
      </w:r>
      <w:r>
        <w:rPr>
          <w:sz w:val="22"/>
          <w:szCs w:val="22"/>
          <w:lang w:val="en-US"/>
        </w:rPr>
        <w:t>emission of harmful substances into the atmosphere from maritime transport are negligibly small.</w:t>
      </w:r>
    </w:p>
    <w:p w14:paraId="2F29BB69" w14:textId="5F4C9062" w:rsidR="004C64CB" w:rsidRPr="00443642" w:rsidRDefault="00B9318D" w:rsidP="00AB79FA">
      <w:pPr>
        <w:pStyle w:val="Tekst"/>
        <w:ind w:firstLine="357"/>
        <w:rPr>
          <w:sz w:val="22"/>
          <w:szCs w:val="22"/>
          <w:lang w:val="en-US"/>
        </w:rPr>
      </w:pPr>
      <w:r w:rsidRPr="00443642">
        <w:rPr>
          <w:sz w:val="22"/>
          <w:szCs w:val="22"/>
          <w:lang w:val="en-US"/>
        </w:rPr>
        <w:t xml:space="preserve">Fuels </w:t>
      </w:r>
      <w:r w:rsidR="00A90EDD">
        <w:rPr>
          <w:sz w:val="22"/>
          <w:szCs w:val="22"/>
          <w:lang w:val="en-US"/>
        </w:rPr>
        <w:t>carry energy in a condensed, safe,</w:t>
      </w:r>
      <w:r w:rsidRPr="00443642">
        <w:rPr>
          <w:sz w:val="22"/>
          <w:szCs w:val="22"/>
          <w:lang w:val="en-US"/>
        </w:rPr>
        <w:t xml:space="preserve"> ready-to-use form. </w:t>
      </w:r>
      <w:r w:rsidR="007C107E" w:rsidRPr="00443642">
        <w:rPr>
          <w:sz w:val="22"/>
          <w:szCs w:val="22"/>
          <w:lang w:val="en-US"/>
        </w:rPr>
        <w:t xml:space="preserve">In 2020, </w:t>
      </w:r>
      <w:r w:rsidRPr="00443642">
        <w:rPr>
          <w:sz w:val="22"/>
          <w:szCs w:val="22"/>
          <w:lang w:val="en-US"/>
        </w:rPr>
        <w:t>the demand for marine fuels (</w:t>
      </w:r>
      <w:r w:rsidR="00E10657" w:rsidRPr="00443642">
        <w:rPr>
          <w:sz w:val="22"/>
          <w:szCs w:val="22"/>
          <w:lang w:val="en-US"/>
        </w:rPr>
        <w:t xml:space="preserve">heavy fuel oil </w:t>
      </w:r>
      <w:r w:rsidRPr="00443642">
        <w:rPr>
          <w:sz w:val="22"/>
          <w:szCs w:val="22"/>
          <w:lang w:val="en-US"/>
        </w:rPr>
        <w:t xml:space="preserve">HFO and </w:t>
      </w:r>
      <w:r w:rsidR="00A90EDD">
        <w:rPr>
          <w:sz w:val="22"/>
          <w:szCs w:val="22"/>
          <w:lang w:val="en-US"/>
        </w:rPr>
        <w:t>marine diesel oil MDO) was about 370 million tons</w:t>
      </w:r>
      <w:r w:rsidRPr="00443642">
        <w:rPr>
          <w:sz w:val="22"/>
          <w:szCs w:val="22"/>
          <w:lang w:val="en-US"/>
        </w:rPr>
        <w:t>.</w:t>
      </w:r>
      <w:r w:rsidR="004D51A8" w:rsidRPr="00443642">
        <w:rPr>
          <w:sz w:val="22"/>
          <w:szCs w:val="22"/>
          <w:lang w:val="en-US"/>
        </w:rPr>
        <w:t xml:space="preserve"> </w:t>
      </w:r>
      <w:r w:rsidR="007C107E" w:rsidRPr="00443642">
        <w:rPr>
          <w:sz w:val="22"/>
          <w:szCs w:val="22"/>
          <w:lang w:val="en-US"/>
        </w:rPr>
        <w:t xml:space="preserve">With the same demand for </w:t>
      </w:r>
      <w:r w:rsidR="00A90EDD">
        <w:rPr>
          <w:sz w:val="22"/>
          <w:szCs w:val="22"/>
          <w:lang w:val="en-US"/>
        </w:rPr>
        <w:t xml:space="preserve">the </w:t>
      </w:r>
      <w:r w:rsidR="007C107E" w:rsidRPr="00443642">
        <w:rPr>
          <w:sz w:val="22"/>
          <w:szCs w:val="22"/>
          <w:lang w:val="en-US"/>
        </w:rPr>
        <w:t>energy contained in marine fuels as in 2020</w:t>
      </w:r>
      <w:r w:rsidR="00471E9D" w:rsidRPr="00443642">
        <w:rPr>
          <w:sz w:val="22"/>
          <w:szCs w:val="22"/>
          <w:lang w:val="en-US"/>
        </w:rPr>
        <w:t xml:space="preserve"> (</w:t>
      </w:r>
      <w:proofErr w:type="spellStart"/>
      <w:r w:rsidR="00471E9D" w:rsidRPr="00443642">
        <w:rPr>
          <w:sz w:val="22"/>
          <w:szCs w:val="22"/>
          <w:lang w:val="en-US"/>
        </w:rPr>
        <w:t>Herdzik</w:t>
      </w:r>
      <w:proofErr w:type="spellEnd"/>
      <w:r w:rsidR="00471E9D" w:rsidRPr="00443642">
        <w:rPr>
          <w:sz w:val="22"/>
          <w:szCs w:val="22"/>
          <w:lang w:val="en-US"/>
        </w:rPr>
        <w:t xml:space="preserve"> 2021)</w:t>
      </w:r>
      <w:r w:rsidR="007C107E" w:rsidRPr="00443642">
        <w:rPr>
          <w:sz w:val="22"/>
          <w:szCs w:val="22"/>
          <w:lang w:val="en-US"/>
        </w:rPr>
        <w:t>, it would be necessary to have</w:t>
      </w:r>
      <w:r w:rsidR="00495600" w:rsidRPr="00443642">
        <w:rPr>
          <w:sz w:val="22"/>
          <w:szCs w:val="22"/>
          <w:lang w:val="en-US"/>
        </w:rPr>
        <w:t xml:space="preserve"> as equivalent</w:t>
      </w:r>
      <w:r w:rsidR="007C107E" w:rsidRPr="00443642">
        <w:rPr>
          <w:sz w:val="22"/>
          <w:szCs w:val="22"/>
          <w:lang w:val="en-US"/>
        </w:rPr>
        <w:t xml:space="preserve">: </w:t>
      </w:r>
      <w:r w:rsidR="00E10657" w:rsidRPr="00443642">
        <w:rPr>
          <w:sz w:val="22"/>
          <w:szCs w:val="22"/>
          <w:lang w:val="en-US"/>
        </w:rPr>
        <w:t>324 million ton</w:t>
      </w:r>
      <w:r w:rsidR="00A90EDD">
        <w:rPr>
          <w:sz w:val="22"/>
          <w:szCs w:val="22"/>
          <w:lang w:val="en-US"/>
        </w:rPr>
        <w:t>s</w:t>
      </w:r>
      <w:r w:rsidR="00E10657" w:rsidRPr="00443642">
        <w:rPr>
          <w:sz w:val="22"/>
          <w:szCs w:val="22"/>
          <w:lang w:val="en-US"/>
        </w:rPr>
        <w:t xml:space="preserve"> </w:t>
      </w:r>
      <w:r w:rsidR="00A90EDD">
        <w:rPr>
          <w:sz w:val="22"/>
          <w:szCs w:val="22"/>
          <w:lang w:val="en-US"/>
        </w:rPr>
        <w:t>of</w:t>
      </w:r>
      <w:r w:rsidR="007C107E" w:rsidRPr="00443642">
        <w:rPr>
          <w:sz w:val="22"/>
          <w:szCs w:val="22"/>
          <w:lang w:val="en-US"/>
        </w:rPr>
        <w:t xml:space="preserve"> LNG</w:t>
      </w:r>
      <w:r w:rsidR="00E10657" w:rsidRPr="00443642">
        <w:rPr>
          <w:sz w:val="22"/>
          <w:szCs w:val="22"/>
          <w:lang w:val="en-US"/>
        </w:rPr>
        <w:t xml:space="preserve">, </w:t>
      </w:r>
      <w:r w:rsidR="00CB695E" w:rsidRPr="00443642">
        <w:rPr>
          <w:sz w:val="22"/>
          <w:szCs w:val="22"/>
          <w:lang w:val="en-US"/>
        </w:rPr>
        <w:t>338 million ton</w:t>
      </w:r>
      <w:r w:rsidR="00A90EDD">
        <w:rPr>
          <w:sz w:val="22"/>
          <w:szCs w:val="22"/>
          <w:lang w:val="en-US"/>
        </w:rPr>
        <w:t>s</w:t>
      </w:r>
      <w:r w:rsidR="007C107E" w:rsidRPr="00443642">
        <w:rPr>
          <w:sz w:val="22"/>
          <w:szCs w:val="22"/>
          <w:lang w:val="en-US"/>
        </w:rPr>
        <w:t xml:space="preserve"> </w:t>
      </w:r>
      <w:r w:rsidR="00A90EDD">
        <w:rPr>
          <w:sz w:val="22"/>
          <w:szCs w:val="22"/>
          <w:lang w:val="en-US"/>
        </w:rPr>
        <w:t>of</w:t>
      </w:r>
      <w:r w:rsidR="007C107E" w:rsidRPr="00443642">
        <w:rPr>
          <w:sz w:val="22"/>
          <w:szCs w:val="22"/>
          <w:lang w:val="en-US"/>
        </w:rPr>
        <w:t xml:space="preserve"> LPG, </w:t>
      </w:r>
      <w:r w:rsidR="00CB695E" w:rsidRPr="00443642">
        <w:rPr>
          <w:sz w:val="22"/>
          <w:szCs w:val="22"/>
          <w:lang w:val="en-US"/>
        </w:rPr>
        <w:t>777 million ton</w:t>
      </w:r>
      <w:r w:rsidR="00A90EDD">
        <w:rPr>
          <w:sz w:val="22"/>
          <w:szCs w:val="22"/>
          <w:lang w:val="en-US"/>
        </w:rPr>
        <w:t>s</w:t>
      </w:r>
      <w:r w:rsidR="00CB695E" w:rsidRPr="00443642">
        <w:rPr>
          <w:sz w:val="22"/>
          <w:szCs w:val="22"/>
          <w:lang w:val="en-US"/>
        </w:rPr>
        <w:t xml:space="preserve"> </w:t>
      </w:r>
      <w:r w:rsidR="00A90EDD">
        <w:rPr>
          <w:sz w:val="22"/>
          <w:szCs w:val="22"/>
          <w:lang w:val="en-US"/>
        </w:rPr>
        <w:t>of</w:t>
      </w:r>
      <w:r w:rsidR="007C107E" w:rsidRPr="00443642">
        <w:rPr>
          <w:sz w:val="22"/>
          <w:szCs w:val="22"/>
          <w:lang w:val="en-US"/>
        </w:rPr>
        <w:t xml:space="preserve"> methanol,</w:t>
      </w:r>
      <w:r w:rsidRPr="00443642">
        <w:rPr>
          <w:sz w:val="22"/>
          <w:szCs w:val="22"/>
          <w:lang w:val="en-US"/>
        </w:rPr>
        <w:t xml:space="preserve"> </w:t>
      </w:r>
      <w:r w:rsidR="00495600" w:rsidRPr="00443642">
        <w:rPr>
          <w:sz w:val="22"/>
          <w:szCs w:val="22"/>
          <w:lang w:val="en-US"/>
        </w:rPr>
        <w:t>600</w:t>
      </w:r>
      <w:r w:rsidR="00CB695E" w:rsidRPr="00443642">
        <w:rPr>
          <w:sz w:val="22"/>
          <w:szCs w:val="22"/>
          <w:lang w:val="en-US"/>
        </w:rPr>
        <w:t xml:space="preserve"> million ton</w:t>
      </w:r>
      <w:r w:rsidR="00A90EDD">
        <w:rPr>
          <w:sz w:val="22"/>
          <w:szCs w:val="22"/>
          <w:lang w:val="en-US"/>
        </w:rPr>
        <w:t>s</w:t>
      </w:r>
      <w:r w:rsidR="00CB695E" w:rsidRPr="00443642">
        <w:rPr>
          <w:sz w:val="22"/>
          <w:szCs w:val="22"/>
          <w:lang w:val="en-US"/>
        </w:rPr>
        <w:t xml:space="preserve"> </w:t>
      </w:r>
      <w:r w:rsidR="00A90EDD">
        <w:rPr>
          <w:sz w:val="22"/>
          <w:szCs w:val="22"/>
          <w:lang w:val="en-US"/>
        </w:rPr>
        <w:t>of</w:t>
      </w:r>
      <w:r w:rsidR="00CB695E" w:rsidRPr="00443642">
        <w:rPr>
          <w:sz w:val="22"/>
          <w:szCs w:val="22"/>
          <w:lang w:val="en-US"/>
        </w:rPr>
        <w:t xml:space="preserve"> ethanol and </w:t>
      </w:r>
      <w:r w:rsidR="00495600" w:rsidRPr="00443642">
        <w:rPr>
          <w:sz w:val="22"/>
          <w:szCs w:val="22"/>
          <w:lang w:val="en-US"/>
        </w:rPr>
        <w:t xml:space="preserve">835 </w:t>
      </w:r>
      <w:r w:rsidR="00CB695E" w:rsidRPr="00443642">
        <w:rPr>
          <w:sz w:val="22"/>
          <w:szCs w:val="22"/>
          <w:lang w:val="en-US"/>
        </w:rPr>
        <w:t>million ton</w:t>
      </w:r>
      <w:r w:rsidR="00A90EDD">
        <w:rPr>
          <w:sz w:val="22"/>
          <w:szCs w:val="22"/>
          <w:lang w:val="en-US"/>
        </w:rPr>
        <w:t>s</w:t>
      </w:r>
      <w:r w:rsidR="00CB695E" w:rsidRPr="00443642">
        <w:rPr>
          <w:sz w:val="22"/>
          <w:szCs w:val="22"/>
          <w:lang w:val="en-US"/>
        </w:rPr>
        <w:t xml:space="preserve"> </w:t>
      </w:r>
      <w:r w:rsidR="00A90EDD">
        <w:rPr>
          <w:sz w:val="22"/>
          <w:szCs w:val="22"/>
          <w:lang w:val="en-US"/>
        </w:rPr>
        <w:t>of</w:t>
      </w:r>
      <w:r w:rsidR="007C107E" w:rsidRPr="00443642">
        <w:rPr>
          <w:sz w:val="22"/>
          <w:szCs w:val="22"/>
          <w:lang w:val="en-US"/>
        </w:rPr>
        <w:t xml:space="preserve"> ammonia. </w:t>
      </w:r>
      <w:r w:rsidR="00495600" w:rsidRPr="00443642">
        <w:rPr>
          <w:sz w:val="22"/>
          <w:szCs w:val="22"/>
          <w:lang w:val="en-US"/>
        </w:rPr>
        <w:t>Global ammonia production</w:t>
      </w:r>
      <w:r w:rsidR="00A24562" w:rsidRPr="00443642">
        <w:rPr>
          <w:sz w:val="22"/>
          <w:szCs w:val="22"/>
          <w:lang w:val="en-US"/>
        </w:rPr>
        <w:t xml:space="preserve"> in 2020 was about 144 million ton</w:t>
      </w:r>
      <w:r w:rsidR="00A90EDD">
        <w:rPr>
          <w:sz w:val="22"/>
          <w:szCs w:val="22"/>
          <w:lang w:val="en-US"/>
        </w:rPr>
        <w:t>s</w:t>
      </w:r>
      <w:r w:rsidR="00A24562" w:rsidRPr="00443642">
        <w:rPr>
          <w:sz w:val="22"/>
          <w:szCs w:val="22"/>
          <w:lang w:val="en-US"/>
        </w:rPr>
        <w:t xml:space="preserve"> </w:t>
      </w:r>
      <w:r w:rsidR="00AC600E" w:rsidRPr="00443642">
        <w:rPr>
          <w:sz w:val="22"/>
          <w:szCs w:val="22"/>
          <w:lang w:val="en-US"/>
        </w:rPr>
        <w:t>(38 million ton</w:t>
      </w:r>
      <w:r w:rsidR="00A90EDD">
        <w:rPr>
          <w:sz w:val="22"/>
          <w:szCs w:val="22"/>
          <w:lang w:val="en-US"/>
        </w:rPr>
        <w:t>s</w:t>
      </w:r>
      <w:r w:rsidR="00AC600E" w:rsidRPr="00443642">
        <w:rPr>
          <w:sz w:val="22"/>
          <w:szCs w:val="22"/>
          <w:lang w:val="en-US"/>
        </w:rPr>
        <w:t xml:space="preserve"> in China). </w:t>
      </w:r>
      <w:r w:rsidR="00A24562" w:rsidRPr="00443642">
        <w:rPr>
          <w:sz w:val="22"/>
          <w:szCs w:val="22"/>
          <w:lang w:val="en-US"/>
        </w:rPr>
        <w:t>It is produced mainly from natural gas. Carbon dioxide emission from ammonia production account</w:t>
      </w:r>
      <w:r w:rsidR="00A90EDD">
        <w:rPr>
          <w:sz w:val="22"/>
          <w:szCs w:val="22"/>
          <w:lang w:val="en-US"/>
        </w:rPr>
        <w:t>s</w:t>
      </w:r>
      <w:r w:rsidR="00A24562" w:rsidRPr="00443642">
        <w:rPr>
          <w:sz w:val="22"/>
          <w:szCs w:val="22"/>
          <w:lang w:val="en-US"/>
        </w:rPr>
        <w:t xml:space="preserve"> for about 1% of global emissions</w:t>
      </w:r>
      <w:r w:rsidR="00AC600E" w:rsidRPr="00443642">
        <w:rPr>
          <w:sz w:val="22"/>
          <w:szCs w:val="22"/>
          <w:lang w:val="en-US"/>
        </w:rPr>
        <w:t>!</w:t>
      </w:r>
    </w:p>
    <w:p w14:paraId="5E6960C9" w14:textId="20577468" w:rsidR="00AC600E" w:rsidRPr="00443642" w:rsidRDefault="00C70C78" w:rsidP="00AB79FA">
      <w:pPr>
        <w:pStyle w:val="Tekst"/>
        <w:ind w:firstLine="357"/>
        <w:rPr>
          <w:sz w:val="22"/>
          <w:szCs w:val="22"/>
          <w:lang w:val="en-US"/>
        </w:rPr>
      </w:pPr>
      <w:r w:rsidRPr="00443642">
        <w:rPr>
          <w:sz w:val="22"/>
          <w:szCs w:val="22"/>
          <w:lang w:val="en-US"/>
        </w:rPr>
        <w:t xml:space="preserve">Liquefied natural gas seems to be </w:t>
      </w:r>
      <w:r w:rsidR="00952F41" w:rsidRPr="00443642">
        <w:rPr>
          <w:sz w:val="22"/>
          <w:szCs w:val="22"/>
          <w:lang w:val="en-US"/>
        </w:rPr>
        <w:t xml:space="preserve">an attractive marine fuel which </w:t>
      </w:r>
      <w:r w:rsidR="00A90EDD">
        <w:rPr>
          <w:sz w:val="22"/>
          <w:szCs w:val="22"/>
          <w:lang w:val="en-US"/>
        </w:rPr>
        <w:t>decreases</w:t>
      </w:r>
      <w:r w:rsidR="00952F41" w:rsidRPr="00443642">
        <w:rPr>
          <w:sz w:val="22"/>
          <w:szCs w:val="22"/>
          <w:lang w:val="en-US"/>
        </w:rPr>
        <w:t xml:space="preserve"> carbon dioxide emission </w:t>
      </w:r>
      <w:r w:rsidR="00A90EDD">
        <w:rPr>
          <w:sz w:val="22"/>
          <w:szCs w:val="22"/>
          <w:lang w:val="en-US"/>
        </w:rPr>
        <w:t xml:space="preserve">by </w:t>
      </w:r>
      <w:r w:rsidR="00952F41" w:rsidRPr="00443642">
        <w:rPr>
          <w:sz w:val="22"/>
          <w:szCs w:val="22"/>
          <w:lang w:val="en-US"/>
        </w:rPr>
        <w:t>up to 30%</w:t>
      </w:r>
      <w:r w:rsidR="00303CFD" w:rsidRPr="00443642">
        <w:rPr>
          <w:sz w:val="22"/>
          <w:szCs w:val="22"/>
          <w:lang w:val="en-US"/>
        </w:rPr>
        <w:t xml:space="preserve">, counting only </w:t>
      </w:r>
      <w:r w:rsidR="008D09D5" w:rsidRPr="00443642">
        <w:rPr>
          <w:sz w:val="22"/>
          <w:szCs w:val="22"/>
          <w:lang w:val="en-US"/>
        </w:rPr>
        <w:t xml:space="preserve">the </w:t>
      </w:r>
      <w:r w:rsidR="00303CFD" w:rsidRPr="00443642">
        <w:rPr>
          <w:sz w:val="22"/>
          <w:szCs w:val="22"/>
          <w:lang w:val="en-US"/>
        </w:rPr>
        <w:t>direct emission from an engine</w:t>
      </w:r>
      <w:r w:rsidR="007D5330" w:rsidRPr="00443642">
        <w:rPr>
          <w:sz w:val="22"/>
          <w:szCs w:val="22"/>
          <w:lang w:val="en-US"/>
        </w:rPr>
        <w:t xml:space="preserve"> (MAN 2013, PRS 2021, </w:t>
      </w:r>
      <w:proofErr w:type="spellStart"/>
      <w:r w:rsidR="007D5330" w:rsidRPr="00443642">
        <w:rPr>
          <w:sz w:val="22"/>
          <w:szCs w:val="22"/>
          <w:lang w:val="en-US"/>
        </w:rPr>
        <w:t>Stenersen</w:t>
      </w:r>
      <w:proofErr w:type="spellEnd"/>
      <w:r w:rsidR="007D5330" w:rsidRPr="00443642">
        <w:rPr>
          <w:sz w:val="22"/>
          <w:szCs w:val="22"/>
          <w:lang w:val="en-US"/>
        </w:rPr>
        <w:t xml:space="preserve"> &amp; </w:t>
      </w:r>
      <w:proofErr w:type="spellStart"/>
      <w:r w:rsidR="007D5330" w:rsidRPr="00443642">
        <w:rPr>
          <w:sz w:val="22"/>
          <w:szCs w:val="22"/>
          <w:lang w:val="en-US"/>
        </w:rPr>
        <w:t>Thonstad</w:t>
      </w:r>
      <w:proofErr w:type="spellEnd"/>
      <w:r w:rsidR="007D5330" w:rsidRPr="00443642">
        <w:rPr>
          <w:sz w:val="22"/>
          <w:szCs w:val="22"/>
          <w:lang w:val="en-US"/>
        </w:rPr>
        <w:t xml:space="preserve"> 2017)</w:t>
      </w:r>
      <w:r w:rsidR="00952F41" w:rsidRPr="00443642">
        <w:rPr>
          <w:sz w:val="22"/>
          <w:szCs w:val="22"/>
          <w:lang w:val="en-US"/>
        </w:rPr>
        <w:t xml:space="preserve">. </w:t>
      </w:r>
      <w:r w:rsidR="007C6D4D" w:rsidRPr="00443642">
        <w:rPr>
          <w:sz w:val="22"/>
          <w:szCs w:val="22"/>
          <w:lang w:val="en-US"/>
        </w:rPr>
        <w:t>Even if methane leaks (slip) in engines are significantly reduced, th</w:t>
      </w:r>
      <w:r w:rsidR="00A90EDD">
        <w:rPr>
          <w:sz w:val="22"/>
          <w:szCs w:val="22"/>
          <w:lang w:val="en-US"/>
        </w:rPr>
        <w:t>is gas will still leak</w:t>
      </w:r>
      <w:r w:rsidR="007C6D4D" w:rsidRPr="00443642">
        <w:rPr>
          <w:sz w:val="22"/>
          <w:szCs w:val="22"/>
          <w:lang w:val="en-US"/>
        </w:rPr>
        <w:t xml:space="preserve"> into the atmosphere </w:t>
      </w:r>
      <w:r w:rsidR="00BC1911" w:rsidRPr="00443642">
        <w:rPr>
          <w:sz w:val="22"/>
          <w:szCs w:val="22"/>
          <w:lang w:val="en-US"/>
        </w:rPr>
        <w:t>from its extraction, processing, storage and transport</w:t>
      </w:r>
      <w:r w:rsidR="00EB40F2" w:rsidRPr="00443642">
        <w:rPr>
          <w:sz w:val="22"/>
          <w:szCs w:val="22"/>
          <w:lang w:val="en-US"/>
        </w:rPr>
        <w:t xml:space="preserve"> (</w:t>
      </w:r>
      <w:proofErr w:type="spellStart"/>
      <w:r w:rsidR="007D5330" w:rsidRPr="00443642">
        <w:rPr>
          <w:sz w:val="22"/>
          <w:szCs w:val="22"/>
          <w:lang w:val="en-US"/>
        </w:rPr>
        <w:t>Ocktaeck</w:t>
      </w:r>
      <w:proofErr w:type="spellEnd"/>
      <w:r w:rsidR="00EB40F2" w:rsidRPr="00443642">
        <w:rPr>
          <w:sz w:val="22"/>
          <w:szCs w:val="22"/>
          <w:lang w:val="en-US"/>
        </w:rPr>
        <w:t xml:space="preserve"> &amp;</w:t>
      </w:r>
      <w:r w:rsidR="007D5330" w:rsidRPr="00443642">
        <w:rPr>
          <w:sz w:val="22"/>
          <w:szCs w:val="22"/>
          <w:lang w:val="en-US"/>
        </w:rPr>
        <w:t xml:space="preserve"> </w:t>
      </w:r>
      <w:proofErr w:type="spellStart"/>
      <w:r w:rsidR="007D5330" w:rsidRPr="00443642">
        <w:rPr>
          <w:sz w:val="22"/>
          <w:szCs w:val="22"/>
          <w:lang w:val="en-US"/>
        </w:rPr>
        <w:lastRenderedPageBreak/>
        <w:t>Sangijn</w:t>
      </w:r>
      <w:proofErr w:type="spellEnd"/>
      <w:r w:rsidR="007D5330" w:rsidRPr="00443642">
        <w:rPr>
          <w:sz w:val="22"/>
          <w:szCs w:val="22"/>
          <w:lang w:val="en-US"/>
        </w:rPr>
        <w:t xml:space="preserve"> 2021</w:t>
      </w:r>
      <w:r w:rsidR="00EB40F2" w:rsidRPr="00443642">
        <w:rPr>
          <w:sz w:val="22"/>
          <w:szCs w:val="22"/>
          <w:lang w:val="en-US"/>
        </w:rPr>
        <w:t>)</w:t>
      </w:r>
      <w:r w:rsidR="00BC1911" w:rsidRPr="00443642">
        <w:rPr>
          <w:sz w:val="22"/>
          <w:szCs w:val="22"/>
          <w:lang w:val="en-US"/>
        </w:rPr>
        <w:t xml:space="preserve">. It is possible to reduce these leaks, but it requires new technologies </w:t>
      </w:r>
      <w:r w:rsidR="00A90EDD">
        <w:rPr>
          <w:sz w:val="22"/>
          <w:szCs w:val="22"/>
          <w:lang w:val="en-US"/>
        </w:rPr>
        <w:t xml:space="preserve">and </w:t>
      </w:r>
      <w:r w:rsidR="00BC1911" w:rsidRPr="00443642">
        <w:rPr>
          <w:sz w:val="22"/>
          <w:szCs w:val="22"/>
          <w:lang w:val="en-US"/>
        </w:rPr>
        <w:t xml:space="preserve">financial outlays that will have to be incurred in the event of the introduction of international regulations in this matter. An estimate of </w:t>
      </w:r>
      <w:r w:rsidR="00A90EDD">
        <w:rPr>
          <w:sz w:val="22"/>
          <w:szCs w:val="22"/>
          <w:lang w:val="en-US"/>
        </w:rPr>
        <w:t xml:space="preserve">the </w:t>
      </w:r>
      <w:r w:rsidR="00BC1911" w:rsidRPr="00443642">
        <w:rPr>
          <w:sz w:val="22"/>
          <w:szCs w:val="22"/>
          <w:lang w:val="en-US"/>
        </w:rPr>
        <w:t xml:space="preserve">current situation is given in Table 2. </w:t>
      </w:r>
      <w:r w:rsidR="00022F99" w:rsidRPr="00443642">
        <w:rPr>
          <w:sz w:val="22"/>
          <w:szCs w:val="22"/>
          <w:lang w:val="en-US"/>
        </w:rPr>
        <w:t>It presents the variation in emissions of individual pollutants (CO</w:t>
      </w:r>
      <w:r w:rsidR="00022F99" w:rsidRPr="00443642">
        <w:rPr>
          <w:sz w:val="22"/>
          <w:szCs w:val="22"/>
          <w:vertAlign w:val="subscript"/>
          <w:lang w:val="en-US"/>
        </w:rPr>
        <w:t>2</w:t>
      </w:r>
      <w:r w:rsidR="00022F99" w:rsidRPr="00443642">
        <w:rPr>
          <w:sz w:val="22"/>
          <w:szCs w:val="22"/>
          <w:lang w:val="en-US"/>
        </w:rPr>
        <w:t>, CH</w:t>
      </w:r>
      <w:r w:rsidR="00022F99" w:rsidRPr="00443642">
        <w:rPr>
          <w:sz w:val="22"/>
          <w:szCs w:val="22"/>
          <w:vertAlign w:val="subscript"/>
          <w:lang w:val="en-US"/>
        </w:rPr>
        <w:t>4</w:t>
      </w:r>
      <w:r w:rsidR="00022F99" w:rsidRPr="00443642">
        <w:rPr>
          <w:sz w:val="22"/>
          <w:szCs w:val="22"/>
          <w:lang w:val="en-US"/>
        </w:rPr>
        <w:t>, N</w:t>
      </w:r>
      <w:r w:rsidR="00022F99" w:rsidRPr="00443642">
        <w:rPr>
          <w:sz w:val="22"/>
          <w:szCs w:val="22"/>
          <w:vertAlign w:val="subscript"/>
          <w:lang w:val="en-US"/>
        </w:rPr>
        <w:t>2</w:t>
      </w:r>
      <w:r w:rsidR="00022F99" w:rsidRPr="00443642">
        <w:rPr>
          <w:sz w:val="22"/>
          <w:szCs w:val="22"/>
          <w:lang w:val="en-US"/>
        </w:rPr>
        <w:t xml:space="preserve">O, black carbon </w:t>
      </w:r>
      <w:r w:rsidR="00443642">
        <w:rPr>
          <w:sz w:val="22"/>
          <w:szCs w:val="22"/>
          <w:lang w:val="en-US"/>
        </w:rPr>
        <w:t>–</w:t>
      </w:r>
      <w:r w:rsidR="00022F99" w:rsidRPr="00443642">
        <w:rPr>
          <w:sz w:val="22"/>
          <w:szCs w:val="22"/>
          <w:lang w:val="en-US"/>
        </w:rPr>
        <w:t xml:space="preserve"> BC) expressed in grams per gram of fuel burned.</w:t>
      </w:r>
    </w:p>
    <w:p w14:paraId="5B10513C" w14:textId="77777777" w:rsidR="00514915" w:rsidRDefault="00514915" w:rsidP="00AB79FA">
      <w:pPr>
        <w:pStyle w:val="Tekst"/>
        <w:ind w:firstLine="357"/>
        <w:rPr>
          <w:sz w:val="22"/>
          <w:szCs w:val="22"/>
          <w:lang w:val="en-US"/>
        </w:rPr>
      </w:pPr>
    </w:p>
    <w:p w14:paraId="68DBDD6A" w14:textId="426FD009" w:rsidR="00D86861" w:rsidRPr="00020A3F" w:rsidRDefault="00D86861" w:rsidP="0051286F">
      <w:pPr>
        <w:pStyle w:val="Rtab"/>
        <w:rPr>
          <w:spacing w:val="-2"/>
          <w:lang w:val="en-US"/>
        </w:rPr>
      </w:pPr>
      <w:r w:rsidRPr="00020A3F">
        <w:rPr>
          <w:b/>
          <w:spacing w:val="-2"/>
          <w:lang w:val="en-US"/>
        </w:rPr>
        <w:t>Table 2.</w:t>
      </w:r>
      <w:r w:rsidRPr="00020A3F">
        <w:rPr>
          <w:spacing w:val="-2"/>
          <w:lang w:val="en-US"/>
        </w:rPr>
        <w:t xml:space="preserve"> Well-to-</w:t>
      </w:r>
      <w:r w:rsidR="00591CE1" w:rsidRPr="00020A3F">
        <w:rPr>
          <w:spacing w:val="-2"/>
          <w:lang w:val="en-US"/>
        </w:rPr>
        <w:t>wake</w:t>
      </w:r>
      <w:r w:rsidRPr="00020A3F">
        <w:rPr>
          <w:spacing w:val="-2"/>
          <w:lang w:val="en-US"/>
        </w:rPr>
        <w:t xml:space="preserve"> emission factors for each pollutant (EF</w:t>
      </w:r>
      <w:r w:rsidRPr="00020A3F">
        <w:rPr>
          <w:spacing w:val="-2"/>
          <w:vertAlign w:val="subscript"/>
          <w:lang w:val="en-US"/>
        </w:rPr>
        <w:t>WT</w:t>
      </w:r>
      <w:r w:rsidR="00591CE1" w:rsidRPr="00020A3F">
        <w:rPr>
          <w:spacing w:val="-2"/>
          <w:vertAlign w:val="subscript"/>
          <w:lang w:val="en-US"/>
        </w:rPr>
        <w:t>W</w:t>
      </w:r>
      <w:r w:rsidRPr="00020A3F">
        <w:rPr>
          <w:spacing w:val="-2"/>
          <w:lang w:val="en-US"/>
        </w:rPr>
        <w:t>) and associated carbon dioxide equivalent factors (CEF</w:t>
      </w:r>
      <w:r w:rsidRPr="00020A3F">
        <w:rPr>
          <w:spacing w:val="-2"/>
          <w:vertAlign w:val="subscript"/>
          <w:lang w:val="en-US"/>
        </w:rPr>
        <w:t>WT</w:t>
      </w:r>
      <w:r w:rsidR="00591CE1" w:rsidRPr="00020A3F">
        <w:rPr>
          <w:spacing w:val="-2"/>
          <w:vertAlign w:val="subscript"/>
          <w:lang w:val="en-US"/>
        </w:rPr>
        <w:t>W</w:t>
      </w:r>
      <w:r w:rsidRPr="00020A3F">
        <w:rPr>
          <w:spacing w:val="-2"/>
          <w:lang w:val="en-US"/>
        </w:rPr>
        <w:t>) (elaborated on a base</w:t>
      </w:r>
      <w:r w:rsidR="00591CE1" w:rsidRPr="00020A3F">
        <w:rPr>
          <w:spacing w:val="-2"/>
          <w:lang w:val="en-US"/>
        </w:rPr>
        <w:t>: Comer &amp; Osipova 2021</w:t>
      </w:r>
      <w:r w:rsidRPr="00020A3F">
        <w:rPr>
          <w:spacing w:val="-2"/>
          <w:lang w:val="en-US"/>
        </w:rPr>
        <w:t>)</w:t>
      </w:r>
    </w:p>
    <w:tbl>
      <w:tblPr>
        <w:tblStyle w:val="Tabela-Siatka"/>
        <w:tblW w:w="7088" w:type="dxa"/>
        <w:tblInd w:w="-5" w:type="dxa"/>
        <w:tblLayout w:type="fixed"/>
        <w:tblLook w:val="04A0" w:firstRow="1" w:lastRow="0" w:firstColumn="1" w:lastColumn="0" w:noHBand="0" w:noVBand="1"/>
      </w:tblPr>
      <w:tblGrid>
        <w:gridCol w:w="574"/>
        <w:gridCol w:w="1302"/>
        <w:gridCol w:w="756"/>
        <w:gridCol w:w="952"/>
        <w:gridCol w:w="952"/>
        <w:gridCol w:w="882"/>
        <w:gridCol w:w="825"/>
        <w:gridCol w:w="845"/>
      </w:tblGrid>
      <w:tr w:rsidR="00821AD3" w:rsidRPr="00514915" w14:paraId="22D734D1" w14:textId="4AEF861F" w:rsidTr="00716840">
        <w:trPr>
          <w:trHeight w:val="292"/>
        </w:trPr>
        <w:tc>
          <w:tcPr>
            <w:tcW w:w="574" w:type="dxa"/>
            <w:vMerge w:val="restart"/>
            <w:vAlign w:val="center"/>
          </w:tcPr>
          <w:p w14:paraId="47943B72" w14:textId="4B66EE7F" w:rsidR="00821AD3" w:rsidRPr="00514915" w:rsidRDefault="00821AD3" w:rsidP="00716840">
            <w:pPr>
              <w:pStyle w:val="Tekst"/>
              <w:ind w:firstLine="0"/>
              <w:jc w:val="center"/>
              <w:rPr>
                <w:sz w:val="20"/>
                <w:lang w:val="en-US"/>
              </w:rPr>
            </w:pPr>
            <w:r w:rsidRPr="00514915">
              <w:rPr>
                <w:sz w:val="20"/>
                <w:lang w:val="en-US"/>
              </w:rPr>
              <w:t>Fuel type</w:t>
            </w:r>
          </w:p>
        </w:tc>
        <w:tc>
          <w:tcPr>
            <w:tcW w:w="1302" w:type="dxa"/>
            <w:vMerge w:val="restart"/>
            <w:vAlign w:val="center"/>
          </w:tcPr>
          <w:p w14:paraId="1CB958B6" w14:textId="085CF455" w:rsidR="00821AD3" w:rsidRPr="00514915" w:rsidRDefault="00821AD3" w:rsidP="00716840">
            <w:pPr>
              <w:pStyle w:val="Tekst"/>
              <w:ind w:firstLine="0"/>
              <w:jc w:val="center"/>
              <w:rPr>
                <w:sz w:val="20"/>
                <w:lang w:val="en-US"/>
              </w:rPr>
            </w:pPr>
            <w:r w:rsidRPr="00514915">
              <w:rPr>
                <w:sz w:val="20"/>
                <w:lang w:val="en-US"/>
              </w:rPr>
              <w:t>Engine type</w:t>
            </w:r>
          </w:p>
        </w:tc>
        <w:tc>
          <w:tcPr>
            <w:tcW w:w="5212" w:type="dxa"/>
            <w:gridSpan w:val="6"/>
            <w:vAlign w:val="center"/>
          </w:tcPr>
          <w:p w14:paraId="61F9357E" w14:textId="52F0F71D" w:rsidR="00821AD3" w:rsidRPr="00514915" w:rsidRDefault="00821AD3" w:rsidP="00716840">
            <w:pPr>
              <w:pStyle w:val="Tekst"/>
              <w:ind w:firstLine="0"/>
              <w:jc w:val="center"/>
              <w:rPr>
                <w:sz w:val="20"/>
                <w:lang w:val="en-US"/>
              </w:rPr>
            </w:pPr>
            <w:r w:rsidRPr="00514915">
              <w:rPr>
                <w:sz w:val="20"/>
                <w:lang w:val="en-US"/>
              </w:rPr>
              <w:t>Well-to-wake [g/g fuel]</w:t>
            </w:r>
          </w:p>
        </w:tc>
      </w:tr>
      <w:tr w:rsidR="00821AD3" w:rsidRPr="00514915" w14:paraId="382EC8A1" w14:textId="308601A2" w:rsidTr="00020A3F">
        <w:trPr>
          <w:trHeight w:val="291"/>
        </w:trPr>
        <w:tc>
          <w:tcPr>
            <w:tcW w:w="574" w:type="dxa"/>
            <w:vMerge/>
            <w:vAlign w:val="center"/>
          </w:tcPr>
          <w:p w14:paraId="05B3A72B" w14:textId="77777777" w:rsidR="00821AD3" w:rsidRPr="00514915" w:rsidRDefault="00821AD3" w:rsidP="00716840">
            <w:pPr>
              <w:pStyle w:val="Tekst"/>
              <w:ind w:firstLine="0"/>
              <w:jc w:val="center"/>
              <w:rPr>
                <w:sz w:val="20"/>
                <w:lang w:val="en-US"/>
              </w:rPr>
            </w:pPr>
          </w:p>
        </w:tc>
        <w:tc>
          <w:tcPr>
            <w:tcW w:w="1302" w:type="dxa"/>
            <w:vMerge/>
            <w:vAlign w:val="center"/>
          </w:tcPr>
          <w:p w14:paraId="5820BF89" w14:textId="77777777" w:rsidR="00821AD3" w:rsidRPr="00514915" w:rsidRDefault="00821AD3" w:rsidP="00716840">
            <w:pPr>
              <w:pStyle w:val="Tekst"/>
              <w:ind w:firstLine="0"/>
              <w:jc w:val="center"/>
              <w:rPr>
                <w:sz w:val="20"/>
                <w:lang w:val="en-US"/>
              </w:rPr>
            </w:pPr>
          </w:p>
        </w:tc>
        <w:tc>
          <w:tcPr>
            <w:tcW w:w="3542" w:type="dxa"/>
            <w:gridSpan w:val="4"/>
            <w:vAlign w:val="center"/>
          </w:tcPr>
          <w:p w14:paraId="759E558F" w14:textId="6C3673B6" w:rsidR="00821AD3" w:rsidRPr="00514915" w:rsidRDefault="00821AD3" w:rsidP="00716840">
            <w:pPr>
              <w:pStyle w:val="Tekst"/>
              <w:ind w:firstLine="0"/>
              <w:jc w:val="center"/>
              <w:rPr>
                <w:sz w:val="20"/>
                <w:lang w:val="en-US"/>
              </w:rPr>
            </w:pPr>
            <w:r w:rsidRPr="00514915">
              <w:rPr>
                <w:sz w:val="20"/>
                <w:lang w:val="en-US"/>
              </w:rPr>
              <w:t>EF</w:t>
            </w:r>
            <w:r w:rsidRPr="00514915">
              <w:rPr>
                <w:sz w:val="20"/>
                <w:vertAlign w:val="subscript"/>
                <w:lang w:val="en-US"/>
              </w:rPr>
              <w:t>WTW</w:t>
            </w:r>
          </w:p>
        </w:tc>
        <w:tc>
          <w:tcPr>
            <w:tcW w:w="1670" w:type="dxa"/>
            <w:gridSpan w:val="2"/>
            <w:vAlign w:val="center"/>
          </w:tcPr>
          <w:p w14:paraId="1FF97C0B" w14:textId="434CD087" w:rsidR="00821AD3" w:rsidRPr="00514915" w:rsidRDefault="00821AD3" w:rsidP="00716840">
            <w:pPr>
              <w:pStyle w:val="Tekst"/>
              <w:ind w:firstLine="0"/>
              <w:jc w:val="center"/>
              <w:rPr>
                <w:sz w:val="20"/>
                <w:lang w:val="en-US"/>
              </w:rPr>
            </w:pPr>
            <w:r w:rsidRPr="00514915">
              <w:rPr>
                <w:sz w:val="20"/>
                <w:lang w:val="en-US"/>
              </w:rPr>
              <w:t>CEF</w:t>
            </w:r>
            <w:r w:rsidRPr="00514915">
              <w:rPr>
                <w:sz w:val="20"/>
                <w:vertAlign w:val="subscript"/>
                <w:lang w:val="en-US"/>
              </w:rPr>
              <w:t>WTW</w:t>
            </w:r>
          </w:p>
        </w:tc>
      </w:tr>
      <w:tr w:rsidR="00D866CD" w:rsidRPr="00514915" w14:paraId="11001235" w14:textId="411883D1" w:rsidTr="00020A3F">
        <w:trPr>
          <w:trHeight w:val="291"/>
        </w:trPr>
        <w:tc>
          <w:tcPr>
            <w:tcW w:w="574" w:type="dxa"/>
            <w:vMerge/>
            <w:vAlign w:val="center"/>
          </w:tcPr>
          <w:p w14:paraId="4C9F0C33" w14:textId="77777777" w:rsidR="00821AD3" w:rsidRPr="00514915" w:rsidRDefault="00821AD3" w:rsidP="00716840">
            <w:pPr>
              <w:pStyle w:val="Tekst"/>
              <w:ind w:firstLine="0"/>
              <w:jc w:val="center"/>
              <w:rPr>
                <w:sz w:val="20"/>
                <w:lang w:val="en-US"/>
              </w:rPr>
            </w:pPr>
          </w:p>
        </w:tc>
        <w:tc>
          <w:tcPr>
            <w:tcW w:w="1302" w:type="dxa"/>
            <w:vMerge/>
            <w:vAlign w:val="center"/>
          </w:tcPr>
          <w:p w14:paraId="0CA3E562" w14:textId="77777777" w:rsidR="00821AD3" w:rsidRPr="00514915" w:rsidRDefault="00821AD3" w:rsidP="00716840">
            <w:pPr>
              <w:pStyle w:val="Tekst"/>
              <w:ind w:firstLine="0"/>
              <w:jc w:val="center"/>
              <w:rPr>
                <w:sz w:val="20"/>
                <w:lang w:val="en-US"/>
              </w:rPr>
            </w:pPr>
          </w:p>
        </w:tc>
        <w:tc>
          <w:tcPr>
            <w:tcW w:w="756" w:type="dxa"/>
            <w:vAlign w:val="center"/>
          </w:tcPr>
          <w:p w14:paraId="06A3A6D0" w14:textId="3E1D0887" w:rsidR="00821AD3" w:rsidRPr="00514915" w:rsidRDefault="00821AD3" w:rsidP="00716840">
            <w:pPr>
              <w:pStyle w:val="Tekst"/>
              <w:ind w:firstLine="0"/>
              <w:jc w:val="center"/>
              <w:rPr>
                <w:sz w:val="20"/>
                <w:lang w:val="en-US"/>
              </w:rPr>
            </w:pPr>
            <w:r w:rsidRPr="00514915">
              <w:rPr>
                <w:sz w:val="20"/>
                <w:lang w:val="en-US"/>
              </w:rPr>
              <w:t>CO</w:t>
            </w:r>
            <w:r w:rsidRPr="00514915">
              <w:rPr>
                <w:sz w:val="20"/>
                <w:vertAlign w:val="subscript"/>
                <w:lang w:val="en-US"/>
              </w:rPr>
              <w:t>2</w:t>
            </w:r>
          </w:p>
        </w:tc>
        <w:tc>
          <w:tcPr>
            <w:tcW w:w="952" w:type="dxa"/>
            <w:vAlign w:val="center"/>
          </w:tcPr>
          <w:p w14:paraId="4F43349B" w14:textId="4012F0F0" w:rsidR="00821AD3" w:rsidRPr="00514915" w:rsidRDefault="00821AD3" w:rsidP="00716840">
            <w:pPr>
              <w:pStyle w:val="Tekst"/>
              <w:ind w:firstLine="0"/>
              <w:jc w:val="center"/>
              <w:rPr>
                <w:sz w:val="20"/>
                <w:lang w:val="en-US"/>
              </w:rPr>
            </w:pPr>
            <w:r w:rsidRPr="00514915">
              <w:rPr>
                <w:sz w:val="20"/>
                <w:lang w:val="en-US"/>
              </w:rPr>
              <w:t>CH</w:t>
            </w:r>
            <w:r w:rsidRPr="00514915">
              <w:rPr>
                <w:sz w:val="20"/>
                <w:vertAlign w:val="subscript"/>
                <w:lang w:val="en-US"/>
              </w:rPr>
              <w:t>4</w:t>
            </w:r>
          </w:p>
        </w:tc>
        <w:tc>
          <w:tcPr>
            <w:tcW w:w="952" w:type="dxa"/>
            <w:vAlign w:val="center"/>
          </w:tcPr>
          <w:p w14:paraId="6045FD3E" w14:textId="0C5C1615" w:rsidR="00821AD3" w:rsidRPr="00514915" w:rsidRDefault="00821AD3" w:rsidP="00716840">
            <w:pPr>
              <w:pStyle w:val="Tekst"/>
              <w:ind w:firstLine="0"/>
              <w:jc w:val="center"/>
              <w:rPr>
                <w:sz w:val="20"/>
                <w:lang w:val="en-US"/>
              </w:rPr>
            </w:pPr>
            <w:r w:rsidRPr="00514915">
              <w:rPr>
                <w:sz w:val="20"/>
                <w:lang w:val="en-US"/>
              </w:rPr>
              <w:t>N</w:t>
            </w:r>
            <w:r w:rsidRPr="00514915">
              <w:rPr>
                <w:sz w:val="20"/>
                <w:vertAlign w:val="subscript"/>
                <w:lang w:val="en-US"/>
              </w:rPr>
              <w:t>2</w:t>
            </w:r>
            <w:r w:rsidRPr="00514915">
              <w:rPr>
                <w:sz w:val="20"/>
                <w:lang w:val="en-US"/>
              </w:rPr>
              <w:t>O</w:t>
            </w:r>
          </w:p>
        </w:tc>
        <w:tc>
          <w:tcPr>
            <w:tcW w:w="882" w:type="dxa"/>
            <w:vAlign w:val="center"/>
          </w:tcPr>
          <w:p w14:paraId="781112AE" w14:textId="654070B8" w:rsidR="00821AD3" w:rsidRPr="00514915" w:rsidRDefault="00821AD3" w:rsidP="00716840">
            <w:pPr>
              <w:pStyle w:val="Tekst"/>
              <w:ind w:firstLine="0"/>
              <w:jc w:val="center"/>
              <w:rPr>
                <w:sz w:val="20"/>
                <w:lang w:val="en-US"/>
              </w:rPr>
            </w:pPr>
            <w:r w:rsidRPr="00514915">
              <w:rPr>
                <w:sz w:val="20"/>
                <w:lang w:val="en-US"/>
              </w:rPr>
              <w:t>BC</w:t>
            </w:r>
          </w:p>
        </w:tc>
        <w:tc>
          <w:tcPr>
            <w:tcW w:w="825" w:type="dxa"/>
            <w:vAlign w:val="center"/>
          </w:tcPr>
          <w:p w14:paraId="42069146" w14:textId="6F60B046" w:rsidR="00821AD3" w:rsidRPr="00514915" w:rsidRDefault="00821AD3" w:rsidP="00716840">
            <w:pPr>
              <w:pStyle w:val="Tekst"/>
              <w:ind w:firstLine="0"/>
              <w:jc w:val="center"/>
              <w:rPr>
                <w:sz w:val="20"/>
                <w:lang w:val="en-US"/>
              </w:rPr>
            </w:pPr>
            <w:r w:rsidRPr="00514915">
              <w:rPr>
                <w:sz w:val="20"/>
                <w:lang w:val="en-US"/>
              </w:rPr>
              <w:t>CO</w:t>
            </w:r>
            <w:r w:rsidRPr="00514915">
              <w:rPr>
                <w:sz w:val="20"/>
                <w:vertAlign w:val="subscript"/>
                <w:lang w:val="en-US"/>
              </w:rPr>
              <w:t>2e100</w:t>
            </w:r>
          </w:p>
        </w:tc>
        <w:tc>
          <w:tcPr>
            <w:tcW w:w="845" w:type="dxa"/>
            <w:vAlign w:val="center"/>
          </w:tcPr>
          <w:p w14:paraId="6485D040" w14:textId="09E0E333" w:rsidR="00821AD3" w:rsidRPr="00514915" w:rsidRDefault="00821AD3" w:rsidP="00716840">
            <w:pPr>
              <w:pStyle w:val="Tekst"/>
              <w:ind w:firstLine="0"/>
              <w:jc w:val="center"/>
              <w:rPr>
                <w:sz w:val="20"/>
                <w:lang w:val="en-US"/>
              </w:rPr>
            </w:pPr>
            <w:r w:rsidRPr="00514915">
              <w:rPr>
                <w:sz w:val="20"/>
                <w:lang w:val="en-US"/>
              </w:rPr>
              <w:t>CO</w:t>
            </w:r>
            <w:r w:rsidRPr="00514915">
              <w:rPr>
                <w:sz w:val="20"/>
                <w:vertAlign w:val="subscript"/>
                <w:lang w:val="en-US"/>
              </w:rPr>
              <w:t>2e20</w:t>
            </w:r>
          </w:p>
        </w:tc>
      </w:tr>
      <w:tr w:rsidR="003F6277" w:rsidRPr="00821AD3" w14:paraId="73CA7FDF" w14:textId="7C931398" w:rsidTr="00020A3F">
        <w:trPr>
          <w:trHeight w:val="230"/>
        </w:trPr>
        <w:tc>
          <w:tcPr>
            <w:tcW w:w="574" w:type="dxa"/>
            <w:vMerge w:val="restart"/>
            <w:textDirection w:val="btLr"/>
            <w:vAlign w:val="center"/>
          </w:tcPr>
          <w:p w14:paraId="351205BA" w14:textId="28DD326E" w:rsidR="00B735E3" w:rsidRPr="00B70B59" w:rsidRDefault="00B735E3" w:rsidP="00716840">
            <w:pPr>
              <w:pStyle w:val="Tekst"/>
              <w:ind w:left="113" w:right="113" w:firstLine="0"/>
              <w:jc w:val="center"/>
              <w:rPr>
                <w:sz w:val="20"/>
                <w:lang w:val="en-US"/>
              </w:rPr>
            </w:pPr>
            <w:r>
              <w:rPr>
                <w:sz w:val="20"/>
                <w:lang w:val="en-US"/>
              </w:rPr>
              <w:t>HFO</w:t>
            </w:r>
          </w:p>
        </w:tc>
        <w:tc>
          <w:tcPr>
            <w:tcW w:w="1302" w:type="dxa"/>
          </w:tcPr>
          <w:p w14:paraId="0F727535" w14:textId="7AAB6F7B" w:rsidR="00B735E3" w:rsidRPr="00B70B59" w:rsidRDefault="00B735E3" w:rsidP="00541D79">
            <w:pPr>
              <w:pStyle w:val="Tekst"/>
              <w:ind w:firstLine="0"/>
              <w:jc w:val="center"/>
              <w:rPr>
                <w:sz w:val="20"/>
                <w:lang w:val="en-US"/>
              </w:rPr>
            </w:pPr>
            <w:r>
              <w:rPr>
                <w:sz w:val="20"/>
                <w:lang w:val="en-US"/>
              </w:rPr>
              <w:t>Slow speed DE</w:t>
            </w:r>
          </w:p>
        </w:tc>
        <w:tc>
          <w:tcPr>
            <w:tcW w:w="756" w:type="dxa"/>
            <w:vAlign w:val="center"/>
          </w:tcPr>
          <w:p w14:paraId="3507346B" w14:textId="6C2C0DA5" w:rsidR="00B735E3" w:rsidRPr="00B70B59" w:rsidRDefault="003F6277" w:rsidP="00716840">
            <w:pPr>
              <w:pStyle w:val="Tekst"/>
              <w:ind w:firstLine="0"/>
              <w:jc w:val="center"/>
              <w:rPr>
                <w:sz w:val="20"/>
                <w:lang w:val="en-US"/>
              </w:rPr>
            </w:pPr>
            <w:r>
              <w:rPr>
                <w:sz w:val="20"/>
                <w:lang w:val="en-US"/>
              </w:rPr>
              <w:t>3.545</w:t>
            </w:r>
          </w:p>
        </w:tc>
        <w:tc>
          <w:tcPr>
            <w:tcW w:w="952" w:type="dxa"/>
            <w:vAlign w:val="center"/>
          </w:tcPr>
          <w:p w14:paraId="7072AF41" w14:textId="181E4FC6" w:rsidR="00B735E3" w:rsidRPr="00B70B59" w:rsidRDefault="003F6277" w:rsidP="00716840">
            <w:pPr>
              <w:pStyle w:val="Tekst"/>
              <w:ind w:firstLine="0"/>
              <w:jc w:val="center"/>
              <w:rPr>
                <w:sz w:val="20"/>
                <w:lang w:val="en-US"/>
              </w:rPr>
            </w:pPr>
            <w:r>
              <w:rPr>
                <w:sz w:val="20"/>
                <w:lang w:val="en-US"/>
              </w:rPr>
              <w:t>0.00404</w:t>
            </w:r>
          </w:p>
        </w:tc>
        <w:tc>
          <w:tcPr>
            <w:tcW w:w="952" w:type="dxa"/>
            <w:vAlign w:val="center"/>
          </w:tcPr>
          <w:p w14:paraId="7ABA4E44" w14:textId="78B1BD05" w:rsidR="00B735E3" w:rsidRPr="00B70B59" w:rsidRDefault="003F6277" w:rsidP="00716840">
            <w:pPr>
              <w:pStyle w:val="Tekst"/>
              <w:ind w:firstLine="0"/>
              <w:jc w:val="center"/>
              <w:rPr>
                <w:sz w:val="20"/>
                <w:lang w:val="en-US"/>
              </w:rPr>
            </w:pPr>
            <w:r>
              <w:rPr>
                <w:sz w:val="20"/>
                <w:lang w:val="en-US"/>
              </w:rPr>
              <w:t>0.00018</w:t>
            </w:r>
          </w:p>
        </w:tc>
        <w:tc>
          <w:tcPr>
            <w:tcW w:w="882" w:type="dxa"/>
            <w:vAlign w:val="center"/>
          </w:tcPr>
          <w:p w14:paraId="58597812" w14:textId="53D748DC" w:rsidR="00B735E3" w:rsidRPr="00B70B59" w:rsidRDefault="003F6277" w:rsidP="00716840">
            <w:pPr>
              <w:pStyle w:val="Tekst"/>
              <w:ind w:firstLine="0"/>
              <w:jc w:val="center"/>
              <w:rPr>
                <w:sz w:val="20"/>
                <w:lang w:val="en-US"/>
              </w:rPr>
            </w:pPr>
            <w:r>
              <w:rPr>
                <w:sz w:val="20"/>
                <w:lang w:val="en-US"/>
              </w:rPr>
              <w:t>0.00019</w:t>
            </w:r>
          </w:p>
        </w:tc>
        <w:tc>
          <w:tcPr>
            <w:tcW w:w="825" w:type="dxa"/>
            <w:vAlign w:val="center"/>
          </w:tcPr>
          <w:p w14:paraId="315DBA8D" w14:textId="1F5A9BB2" w:rsidR="00B735E3" w:rsidRPr="00B70B59" w:rsidRDefault="003F6277" w:rsidP="00716840">
            <w:pPr>
              <w:pStyle w:val="Tekst"/>
              <w:ind w:firstLine="0"/>
              <w:jc w:val="center"/>
              <w:rPr>
                <w:sz w:val="20"/>
                <w:lang w:val="en-US"/>
              </w:rPr>
            </w:pPr>
            <w:r>
              <w:rPr>
                <w:sz w:val="20"/>
                <w:lang w:val="en-US"/>
              </w:rPr>
              <w:t>3.915</w:t>
            </w:r>
          </w:p>
        </w:tc>
        <w:tc>
          <w:tcPr>
            <w:tcW w:w="845" w:type="dxa"/>
            <w:vAlign w:val="center"/>
          </w:tcPr>
          <w:p w14:paraId="3163A116" w14:textId="05914B41" w:rsidR="00B735E3" w:rsidRPr="00B70B59" w:rsidRDefault="003F6277" w:rsidP="00716840">
            <w:pPr>
              <w:pStyle w:val="Tekst"/>
              <w:ind w:firstLine="0"/>
              <w:jc w:val="center"/>
              <w:rPr>
                <w:sz w:val="20"/>
                <w:lang w:val="en-US"/>
              </w:rPr>
            </w:pPr>
            <w:r>
              <w:rPr>
                <w:sz w:val="20"/>
                <w:lang w:val="en-US"/>
              </w:rPr>
              <w:t>4.55</w:t>
            </w:r>
            <w:r w:rsidR="00D866CD">
              <w:rPr>
                <w:sz w:val="20"/>
                <w:lang w:val="en-US"/>
              </w:rPr>
              <w:t>3</w:t>
            </w:r>
          </w:p>
        </w:tc>
      </w:tr>
      <w:tr w:rsidR="003F6277" w:rsidRPr="00821AD3" w14:paraId="583289D7" w14:textId="56278E00" w:rsidTr="00020A3F">
        <w:trPr>
          <w:trHeight w:val="230"/>
        </w:trPr>
        <w:tc>
          <w:tcPr>
            <w:tcW w:w="574" w:type="dxa"/>
            <w:vMerge/>
            <w:textDirection w:val="btLr"/>
            <w:vAlign w:val="center"/>
          </w:tcPr>
          <w:p w14:paraId="3A98873F" w14:textId="07A72220" w:rsidR="00B735E3" w:rsidRDefault="00B735E3" w:rsidP="00716840">
            <w:pPr>
              <w:pStyle w:val="Tekst"/>
              <w:ind w:left="113" w:right="113" w:firstLine="0"/>
              <w:jc w:val="center"/>
              <w:rPr>
                <w:sz w:val="20"/>
                <w:lang w:val="en-US"/>
              </w:rPr>
            </w:pPr>
          </w:p>
        </w:tc>
        <w:tc>
          <w:tcPr>
            <w:tcW w:w="1302" w:type="dxa"/>
          </w:tcPr>
          <w:p w14:paraId="088951D5" w14:textId="4E7910F7" w:rsidR="00B735E3" w:rsidRDefault="00B735E3" w:rsidP="00541D79">
            <w:pPr>
              <w:pStyle w:val="Tekst"/>
              <w:ind w:firstLine="0"/>
              <w:jc w:val="center"/>
              <w:rPr>
                <w:sz w:val="20"/>
                <w:lang w:val="en-US"/>
              </w:rPr>
            </w:pPr>
            <w:r>
              <w:rPr>
                <w:sz w:val="20"/>
                <w:lang w:val="en-US"/>
              </w:rPr>
              <w:t>Medium speed DE</w:t>
            </w:r>
          </w:p>
        </w:tc>
        <w:tc>
          <w:tcPr>
            <w:tcW w:w="756" w:type="dxa"/>
            <w:vAlign w:val="center"/>
          </w:tcPr>
          <w:p w14:paraId="171518F8" w14:textId="70FEE947" w:rsidR="00B735E3" w:rsidRDefault="00D866CD" w:rsidP="00716840">
            <w:pPr>
              <w:pStyle w:val="Tekst"/>
              <w:ind w:firstLine="0"/>
              <w:jc w:val="center"/>
              <w:rPr>
                <w:sz w:val="20"/>
                <w:lang w:val="en-US"/>
              </w:rPr>
            </w:pPr>
            <w:r>
              <w:rPr>
                <w:sz w:val="20"/>
                <w:lang w:val="en-US"/>
              </w:rPr>
              <w:t>3.545</w:t>
            </w:r>
          </w:p>
        </w:tc>
        <w:tc>
          <w:tcPr>
            <w:tcW w:w="952" w:type="dxa"/>
            <w:vAlign w:val="center"/>
          </w:tcPr>
          <w:p w14:paraId="1F6BAB9A" w14:textId="38429789" w:rsidR="00B735E3" w:rsidRDefault="00D866CD" w:rsidP="00716840">
            <w:pPr>
              <w:pStyle w:val="Tekst"/>
              <w:ind w:firstLine="0"/>
              <w:jc w:val="center"/>
              <w:rPr>
                <w:sz w:val="20"/>
                <w:lang w:val="en-US"/>
              </w:rPr>
            </w:pPr>
            <w:r>
              <w:rPr>
                <w:sz w:val="20"/>
                <w:lang w:val="en-US"/>
              </w:rPr>
              <w:t>0.00404</w:t>
            </w:r>
          </w:p>
        </w:tc>
        <w:tc>
          <w:tcPr>
            <w:tcW w:w="952" w:type="dxa"/>
            <w:vAlign w:val="center"/>
          </w:tcPr>
          <w:p w14:paraId="00A2EDB1" w14:textId="0175C1AA" w:rsidR="00B735E3" w:rsidRDefault="00D866CD" w:rsidP="00716840">
            <w:pPr>
              <w:pStyle w:val="Tekst"/>
              <w:ind w:firstLine="0"/>
              <w:jc w:val="center"/>
              <w:rPr>
                <w:sz w:val="20"/>
                <w:lang w:val="en-US"/>
              </w:rPr>
            </w:pPr>
            <w:r>
              <w:rPr>
                <w:sz w:val="20"/>
                <w:lang w:val="en-US"/>
              </w:rPr>
              <w:t>0.00017</w:t>
            </w:r>
          </w:p>
        </w:tc>
        <w:tc>
          <w:tcPr>
            <w:tcW w:w="882" w:type="dxa"/>
            <w:vAlign w:val="center"/>
          </w:tcPr>
          <w:p w14:paraId="0585625E" w14:textId="76D03E0B" w:rsidR="00B735E3" w:rsidRDefault="00D866CD" w:rsidP="00716840">
            <w:pPr>
              <w:pStyle w:val="Tekst"/>
              <w:ind w:firstLine="0"/>
              <w:jc w:val="center"/>
              <w:rPr>
                <w:sz w:val="20"/>
                <w:lang w:val="en-US"/>
              </w:rPr>
            </w:pPr>
            <w:r>
              <w:rPr>
                <w:sz w:val="20"/>
                <w:lang w:val="en-US"/>
              </w:rPr>
              <w:t>0.00049</w:t>
            </w:r>
          </w:p>
        </w:tc>
        <w:tc>
          <w:tcPr>
            <w:tcW w:w="825" w:type="dxa"/>
            <w:vAlign w:val="center"/>
          </w:tcPr>
          <w:p w14:paraId="584E8AE0" w14:textId="2D29BA2F" w:rsidR="00B735E3" w:rsidRDefault="00D866CD" w:rsidP="00716840">
            <w:pPr>
              <w:pStyle w:val="Tekst"/>
              <w:ind w:firstLine="0"/>
              <w:jc w:val="center"/>
              <w:rPr>
                <w:sz w:val="20"/>
                <w:lang w:val="en-US"/>
              </w:rPr>
            </w:pPr>
            <w:r>
              <w:rPr>
                <w:sz w:val="20"/>
                <w:lang w:val="en-US"/>
              </w:rPr>
              <w:t>4.182</w:t>
            </w:r>
          </w:p>
        </w:tc>
        <w:tc>
          <w:tcPr>
            <w:tcW w:w="845" w:type="dxa"/>
            <w:vAlign w:val="center"/>
          </w:tcPr>
          <w:p w14:paraId="467F7B01" w14:textId="6601A6AD" w:rsidR="00B735E3" w:rsidRDefault="00D866CD" w:rsidP="00716840">
            <w:pPr>
              <w:pStyle w:val="Tekst"/>
              <w:ind w:firstLine="0"/>
              <w:jc w:val="center"/>
              <w:rPr>
                <w:sz w:val="20"/>
                <w:lang w:val="en-US"/>
              </w:rPr>
            </w:pPr>
            <w:r>
              <w:rPr>
                <w:sz w:val="20"/>
                <w:lang w:val="en-US"/>
              </w:rPr>
              <w:t>5.510</w:t>
            </w:r>
          </w:p>
        </w:tc>
      </w:tr>
      <w:tr w:rsidR="003F6277" w:rsidRPr="00821AD3" w14:paraId="0FB3BEB0" w14:textId="239EA983" w:rsidTr="00020A3F">
        <w:trPr>
          <w:trHeight w:val="230"/>
        </w:trPr>
        <w:tc>
          <w:tcPr>
            <w:tcW w:w="574" w:type="dxa"/>
            <w:vMerge w:val="restart"/>
            <w:textDirection w:val="btLr"/>
          </w:tcPr>
          <w:p w14:paraId="1E050310" w14:textId="77777777" w:rsidR="00B735E3" w:rsidRDefault="00B735E3" w:rsidP="00716840">
            <w:pPr>
              <w:pStyle w:val="Tekst"/>
              <w:ind w:left="113" w:right="113" w:firstLine="0"/>
              <w:jc w:val="center"/>
              <w:rPr>
                <w:sz w:val="20"/>
                <w:lang w:val="en-US"/>
              </w:rPr>
            </w:pPr>
            <w:r>
              <w:rPr>
                <w:sz w:val="20"/>
                <w:lang w:val="en-US"/>
              </w:rPr>
              <w:t>MDO/</w:t>
            </w:r>
          </w:p>
          <w:p w14:paraId="25DEEE79" w14:textId="5633D87C" w:rsidR="00B735E3" w:rsidRDefault="00B735E3" w:rsidP="00716840">
            <w:pPr>
              <w:pStyle w:val="Tekst"/>
              <w:ind w:left="113" w:right="113" w:firstLine="0"/>
              <w:jc w:val="center"/>
              <w:rPr>
                <w:sz w:val="20"/>
                <w:lang w:val="en-US"/>
              </w:rPr>
            </w:pPr>
            <w:r>
              <w:rPr>
                <w:sz w:val="20"/>
                <w:lang w:val="en-US"/>
              </w:rPr>
              <w:t>MGO</w:t>
            </w:r>
          </w:p>
        </w:tc>
        <w:tc>
          <w:tcPr>
            <w:tcW w:w="1302" w:type="dxa"/>
          </w:tcPr>
          <w:p w14:paraId="746F6AFA" w14:textId="0A5DB84A" w:rsidR="00B735E3" w:rsidRDefault="00B735E3" w:rsidP="00B735E3">
            <w:pPr>
              <w:pStyle w:val="Tekst"/>
              <w:ind w:firstLine="0"/>
              <w:jc w:val="center"/>
              <w:rPr>
                <w:sz w:val="20"/>
                <w:lang w:val="en-US"/>
              </w:rPr>
            </w:pPr>
            <w:r>
              <w:rPr>
                <w:sz w:val="20"/>
                <w:lang w:val="en-US"/>
              </w:rPr>
              <w:t>Slow speed DE</w:t>
            </w:r>
          </w:p>
        </w:tc>
        <w:tc>
          <w:tcPr>
            <w:tcW w:w="756" w:type="dxa"/>
            <w:vAlign w:val="center"/>
          </w:tcPr>
          <w:p w14:paraId="7167DC8C" w14:textId="16D00B5A" w:rsidR="00B735E3" w:rsidRDefault="00D866CD" w:rsidP="00716840">
            <w:pPr>
              <w:pStyle w:val="Tekst"/>
              <w:ind w:firstLine="0"/>
              <w:jc w:val="center"/>
              <w:rPr>
                <w:sz w:val="20"/>
                <w:lang w:val="en-US"/>
              </w:rPr>
            </w:pPr>
            <w:r>
              <w:rPr>
                <w:sz w:val="20"/>
                <w:lang w:val="en-US"/>
              </w:rPr>
              <w:t>3.734</w:t>
            </w:r>
          </w:p>
        </w:tc>
        <w:tc>
          <w:tcPr>
            <w:tcW w:w="952" w:type="dxa"/>
            <w:vAlign w:val="center"/>
          </w:tcPr>
          <w:p w14:paraId="3884DE12" w14:textId="6F32E5FA" w:rsidR="00B735E3" w:rsidRDefault="00D866CD" w:rsidP="00716840">
            <w:pPr>
              <w:pStyle w:val="Tekst"/>
              <w:ind w:firstLine="0"/>
              <w:jc w:val="center"/>
              <w:rPr>
                <w:sz w:val="20"/>
                <w:lang w:val="en-US"/>
              </w:rPr>
            </w:pPr>
            <w:r>
              <w:rPr>
                <w:sz w:val="20"/>
                <w:lang w:val="en-US"/>
              </w:rPr>
              <w:t>0.00453</w:t>
            </w:r>
          </w:p>
        </w:tc>
        <w:tc>
          <w:tcPr>
            <w:tcW w:w="952" w:type="dxa"/>
            <w:vAlign w:val="center"/>
          </w:tcPr>
          <w:p w14:paraId="5C483214" w14:textId="31E3B4FF" w:rsidR="00B735E3" w:rsidRDefault="00D866CD" w:rsidP="00716840">
            <w:pPr>
              <w:pStyle w:val="Tekst"/>
              <w:ind w:firstLine="0"/>
              <w:jc w:val="center"/>
              <w:rPr>
                <w:sz w:val="20"/>
                <w:lang w:val="en-US"/>
              </w:rPr>
            </w:pPr>
            <w:r>
              <w:rPr>
                <w:sz w:val="20"/>
                <w:lang w:val="en-US"/>
              </w:rPr>
              <w:t>0.00019</w:t>
            </w:r>
          </w:p>
        </w:tc>
        <w:tc>
          <w:tcPr>
            <w:tcW w:w="882" w:type="dxa"/>
            <w:vAlign w:val="center"/>
          </w:tcPr>
          <w:p w14:paraId="58B6056D" w14:textId="2CE49FA9" w:rsidR="00B735E3" w:rsidRDefault="00D866CD" w:rsidP="00716840">
            <w:pPr>
              <w:pStyle w:val="Tekst"/>
              <w:ind w:firstLine="0"/>
              <w:jc w:val="center"/>
              <w:rPr>
                <w:sz w:val="20"/>
                <w:lang w:val="en-US"/>
              </w:rPr>
            </w:pPr>
            <w:r>
              <w:rPr>
                <w:sz w:val="20"/>
                <w:lang w:val="en-US"/>
              </w:rPr>
              <w:t>0.00019</w:t>
            </w:r>
          </w:p>
        </w:tc>
        <w:tc>
          <w:tcPr>
            <w:tcW w:w="825" w:type="dxa"/>
            <w:vAlign w:val="center"/>
          </w:tcPr>
          <w:p w14:paraId="59FB1078" w14:textId="593EB662" w:rsidR="00B735E3" w:rsidRDefault="00D866CD" w:rsidP="00716840">
            <w:pPr>
              <w:pStyle w:val="Tekst"/>
              <w:ind w:firstLine="0"/>
              <w:jc w:val="center"/>
              <w:rPr>
                <w:sz w:val="20"/>
                <w:lang w:val="en-US"/>
              </w:rPr>
            </w:pPr>
            <w:r>
              <w:rPr>
                <w:sz w:val="20"/>
                <w:lang w:val="en-US"/>
              </w:rPr>
              <w:t>4.124</w:t>
            </w:r>
          </w:p>
        </w:tc>
        <w:tc>
          <w:tcPr>
            <w:tcW w:w="845" w:type="dxa"/>
            <w:vAlign w:val="center"/>
          </w:tcPr>
          <w:p w14:paraId="18D9B965" w14:textId="04F8B4BE" w:rsidR="00B735E3" w:rsidRDefault="00D866CD" w:rsidP="00716840">
            <w:pPr>
              <w:pStyle w:val="Tekst"/>
              <w:ind w:firstLine="0"/>
              <w:jc w:val="center"/>
              <w:rPr>
                <w:sz w:val="20"/>
                <w:lang w:val="en-US"/>
              </w:rPr>
            </w:pPr>
            <w:r>
              <w:rPr>
                <w:sz w:val="20"/>
                <w:lang w:val="en-US"/>
              </w:rPr>
              <w:t>4.787</w:t>
            </w:r>
          </w:p>
        </w:tc>
      </w:tr>
      <w:tr w:rsidR="003F6277" w:rsidRPr="00821AD3" w14:paraId="79497EE9" w14:textId="73AA1102" w:rsidTr="00020A3F">
        <w:trPr>
          <w:trHeight w:val="230"/>
        </w:trPr>
        <w:tc>
          <w:tcPr>
            <w:tcW w:w="574" w:type="dxa"/>
            <w:vMerge/>
            <w:textDirection w:val="btLr"/>
            <w:vAlign w:val="center"/>
          </w:tcPr>
          <w:p w14:paraId="7DA71969" w14:textId="7FC06D83" w:rsidR="00B735E3" w:rsidRDefault="00B735E3" w:rsidP="00716840">
            <w:pPr>
              <w:pStyle w:val="Tekst"/>
              <w:ind w:left="113" w:right="113" w:firstLine="0"/>
              <w:jc w:val="center"/>
              <w:rPr>
                <w:sz w:val="20"/>
                <w:lang w:val="en-US"/>
              </w:rPr>
            </w:pPr>
          </w:p>
        </w:tc>
        <w:tc>
          <w:tcPr>
            <w:tcW w:w="1302" w:type="dxa"/>
          </w:tcPr>
          <w:p w14:paraId="0E86C92F" w14:textId="4873B6D0" w:rsidR="00B735E3" w:rsidRDefault="00B735E3" w:rsidP="00B735E3">
            <w:pPr>
              <w:pStyle w:val="Tekst"/>
              <w:ind w:firstLine="0"/>
              <w:jc w:val="center"/>
              <w:rPr>
                <w:sz w:val="20"/>
                <w:lang w:val="en-US"/>
              </w:rPr>
            </w:pPr>
            <w:r>
              <w:rPr>
                <w:sz w:val="20"/>
                <w:lang w:val="en-US"/>
              </w:rPr>
              <w:t>Medium speed DE</w:t>
            </w:r>
          </w:p>
        </w:tc>
        <w:tc>
          <w:tcPr>
            <w:tcW w:w="756" w:type="dxa"/>
            <w:vAlign w:val="center"/>
          </w:tcPr>
          <w:p w14:paraId="63E0C340" w14:textId="2491DC5A" w:rsidR="00B735E3" w:rsidRDefault="00D866CD" w:rsidP="00716840">
            <w:pPr>
              <w:pStyle w:val="Tekst"/>
              <w:ind w:firstLine="0"/>
              <w:jc w:val="center"/>
              <w:rPr>
                <w:sz w:val="20"/>
                <w:lang w:val="en-US"/>
              </w:rPr>
            </w:pPr>
            <w:r>
              <w:rPr>
                <w:sz w:val="20"/>
                <w:lang w:val="en-US"/>
              </w:rPr>
              <w:t>3.734</w:t>
            </w:r>
          </w:p>
        </w:tc>
        <w:tc>
          <w:tcPr>
            <w:tcW w:w="952" w:type="dxa"/>
            <w:vAlign w:val="center"/>
          </w:tcPr>
          <w:p w14:paraId="40AF4A69" w14:textId="2AEF5E9B" w:rsidR="00B735E3" w:rsidRDefault="00D866CD" w:rsidP="00716840">
            <w:pPr>
              <w:pStyle w:val="Tekst"/>
              <w:ind w:firstLine="0"/>
              <w:jc w:val="center"/>
              <w:rPr>
                <w:sz w:val="20"/>
                <w:lang w:val="en-US"/>
              </w:rPr>
            </w:pPr>
            <w:r>
              <w:rPr>
                <w:sz w:val="20"/>
                <w:lang w:val="en-US"/>
              </w:rPr>
              <w:t>0.00453</w:t>
            </w:r>
          </w:p>
        </w:tc>
        <w:tc>
          <w:tcPr>
            <w:tcW w:w="952" w:type="dxa"/>
            <w:vAlign w:val="center"/>
          </w:tcPr>
          <w:p w14:paraId="1FC68805" w14:textId="20293280" w:rsidR="00B735E3" w:rsidRDefault="00D866CD" w:rsidP="00716840">
            <w:pPr>
              <w:pStyle w:val="Tekst"/>
              <w:ind w:firstLine="0"/>
              <w:jc w:val="center"/>
              <w:rPr>
                <w:sz w:val="20"/>
                <w:lang w:val="en-US"/>
              </w:rPr>
            </w:pPr>
            <w:r>
              <w:rPr>
                <w:sz w:val="20"/>
                <w:lang w:val="en-US"/>
              </w:rPr>
              <w:t>0.00018</w:t>
            </w:r>
          </w:p>
        </w:tc>
        <w:tc>
          <w:tcPr>
            <w:tcW w:w="882" w:type="dxa"/>
            <w:vAlign w:val="center"/>
          </w:tcPr>
          <w:p w14:paraId="1E5CF48C" w14:textId="4BF645EF" w:rsidR="00B735E3" w:rsidRDefault="00D866CD" w:rsidP="00716840">
            <w:pPr>
              <w:pStyle w:val="Tekst"/>
              <w:ind w:firstLine="0"/>
              <w:jc w:val="center"/>
              <w:rPr>
                <w:sz w:val="20"/>
                <w:lang w:val="en-US"/>
              </w:rPr>
            </w:pPr>
            <w:r>
              <w:rPr>
                <w:sz w:val="20"/>
                <w:lang w:val="en-US"/>
              </w:rPr>
              <w:t>0.00049</w:t>
            </w:r>
          </w:p>
        </w:tc>
        <w:tc>
          <w:tcPr>
            <w:tcW w:w="825" w:type="dxa"/>
            <w:vAlign w:val="center"/>
          </w:tcPr>
          <w:p w14:paraId="6F1E5255" w14:textId="3280DE29" w:rsidR="00B735E3" w:rsidRDefault="00D866CD" w:rsidP="00716840">
            <w:pPr>
              <w:pStyle w:val="Tekst"/>
              <w:ind w:firstLine="0"/>
              <w:jc w:val="center"/>
              <w:rPr>
                <w:sz w:val="20"/>
                <w:lang w:val="en-US"/>
              </w:rPr>
            </w:pPr>
            <w:r>
              <w:rPr>
                <w:sz w:val="20"/>
                <w:lang w:val="en-US"/>
              </w:rPr>
              <w:t>4.391</w:t>
            </w:r>
          </w:p>
        </w:tc>
        <w:tc>
          <w:tcPr>
            <w:tcW w:w="845" w:type="dxa"/>
            <w:vAlign w:val="center"/>
          </w:tcPr>
          <w:p w14:paraId="5E5B7834" w14:textId="1D405CC5" w:rsidR="00B735E3" w:rsidRDefault="00D866CD" w:rsidP="00716840">
            <w:pPr>
              <w:pStyle w:val="Tekst"/>
              <w:ind w:firstLine="0"/>
              <w:jc w:val="center"/>
              <w:rPr>
                <w:sz w:val="20"/>
                <w:lang w:val="en-US"/>
              </w:rPr>
            </w:pPr>
            <w:r>
              <w:rPr>
                <w:sz w:val="20"/>
                <w:lang w:val="en-US"/>
              </w:rPr>
              <w:t>5.744</w:t>
            </w:r>
          </w:p>
        </w:tc>
      </w:tr>
      <w:tr w:rsidR="003F6277" w:rsidRPr="00821AD3" w14:paraId="758202DE" w14:textId="761F541B" w:rsidTr="00020A3F">
        <w:trPr>
          <w:trHeight w:val="230"/>
        </w:trPr>
        <w:tc>
          <w:tcPr>
            <w:tcW w:w="574" w:type="dxa"/>
            <w:vMerge w:val="restart"/>
            <w:textDirection w:val="btLr"/>
            <w:vAlign w:val="center"/>
          </w:tcPr>
          <w:p w14:paraId="1396B08D" w14:textId="507386E3" w:rsidR="003F6277" w:rsidRDefault="003F6277" w:rsidP="00716840">
            <w:pPr>
              <w:pStyle w:val="Tekst"/>
              <w:ind w:left="113" w:right="113" w:firstLine="0"/>
              <w:jc w:val="center"/>
              <w:rPr>
                <w:sz w:val="20"/>
                <w:lang w:val="en-US"/>
              </w:rPr>
            </w:pPr>
            <w:r>
              <w:rPr>
                <w:sz w:val="20"/>
                <w:lang w:val="en-US"/>
              </w:rPr>
              <w:t>LNG</w:t>
            </w:r>
          </w:p>
        </w:tc>
        <w:tc>
          <w:tcPr>
            <w:tcW w:w="1302" w:type="dxa"/>
          </w:tcPr>
          <w:p w14:paraId="16FFC719" w14:textId="4647A010" w:rsidR="003F6277" w:rsidRDefault="003F6277" w:rsidP="00B735E3">
            <w:pPr>
              <w:pStyle w:val="Tekst"/>
              <w:ind w:firstLine="0"/>
              <w:rPr>
                <w:sz w:val="20"/>
                <w:lang w:val="en-US"/>
              </w:rPr>
            </w:pPr>
            <w:r>
              <w:rPr>
                <w:sz w:val="20"/>
                <w:lang w:val="en-US"/>
              </w:rPr>
              <w:t>Otto-SS DE</w:t>
            </w:r>
          </w:p>
        </w:tc>
        <w:tc>
          <w:tcPr>
            <w:tcW w:w="756" w:type="dxa"/>
            <w:vAlign w:val="center"/>
          </w:tcPr>
          <w:p w14:paraId="6D85D48F" w14:textId="12D4D04F" w:rsidR="003F6277" w:rsidRDefault="00D866CD" w:rsidP="00716840">
            <w:pPr>
              <w:pStyle w:val="Tekst"/>
              <w:ind w:firstLine="0"/>
              <w:jc w:val="center"/>
              <w:rPr>
                <w:sz w:val="20"/>
                <w:lang w:val="en-US"/>
              </w:rPr>
            </w:pPr>
            <w:r>
              <w:rPr>
                <w:sz w:val="20"/>
                <w:lang w:val="en-US"/>
              </w:rPr>
              <w:t>3.280</w:t>
            </w:r>
          </w:p>
        </w:tc>
        <w:tc>
          <w:tcPr>
            <w:tcW w:w="952" w:type="dxa"/>
            <w:vAlign w:val="center"/>
          </w:tcPr>
          <w:p w14:paraId="423860EB" w14:textId="283E2251" w:rsidR="003F6277" w:rsidRDefault="00D866CD" w:rsidP="00716840">
            <w:pPr>
              <w:pStyle w:val="Tekst"/>
              <w:ind w:firstLine="0"/>
              <w:jc w:val="center"/>
              <w:rPr>
                <w:sz w:val="20"/>
                <w:lang w:val="en-US"/>
              </w:rPr>
            </w:pPr>
            <w:r>
              <w:rPr>
                <w:sz w:val="20"/>
                <w:lang w:val="en-US"/>
              </w:rPr>
              <w:t>0.05336</w:t>
            </w:r>
          </w:p>
        </w:tc>
        <w:tc>
          <w:tcPr>
            <w:tcW w:w="952" w:type="dxa"/>
            <w:vAlign w:val="center"/>
          </w:tcPr>
          <w:p w14:paraId="07EAF1AA" w14:textId="39F89EC1" w:rsidR="003F6277" w:rsidRDefault="00D866CD" w:rsidP="00716840">
            <w:pPr>
              <w:pStyle w:val="Tekst"/>
              <w:ind w:firstLine="0"/>
              <w:jc w:val="center"/>
              <w:rPr>
                <w:sz w:val="20"/>
                <w:lang w:val="en-US"/>
              </w:rPr>
            </w:pPr>
            <w:r>
              <w:rPr>
                <w:sz w:val="20"/>
                <w:lang w:val="en-US"/>
              </w:rPr>
              <w:t>0.00014</w:t>
            </w:r>
          </w:p>
        </w:tc>
        <w:tc>
          <w:tcPr>
            <w:tcW w:w="882" w:type="dxa"/>
            <w:vAlign w:val="center"/>
          </w:tcPr>
          <w:p w14:paraId="5B45B583" w14:textId="71567B98" w:rsidR="003F6277" w:rsidRDefault="00D866CD" w:rsidP="00716840">
            <w:pPr>
              <w:pStyle w:val="Tekst"/>
              <w:ind w:firstLine="0"/>
              <w:jc w:val="center"/>
              <w:rPr>
                <w:sz w:val="20"/>
                <w:lang w:val="en-US"/>
              </w:rPr>
            </w:pPr>
            <w:r>
              <w:rPr>
                <w:sz w:val="20"/>
                <w:lang w:val="en-US"/>
              </w:rPr>
              <w:t>0.00002</w:t>
            </w:r>
          </w:p>
        </w:tc>
        <w:tc>
          <w:tcPr>
            <w:tcW w:w="825" w:type="dxa"/>
            <w:vAlign w:val="center"/>
          </w:tcPr>
          <w:p w14:paraId="1C51499E" w14:textId="1296E8F7" w:rsidR="003F6277" w:rsidRDefault="00D866CD" w:rsidP="00716840">
            <w:pPr>
              <w:pStyle w:val="Tekst"/>
              <w:ind w:firstLine="0"/>
              <w:jc w:val="center"/>
              <w:rPr>
                <w:sz w:val="20"/>
                <w:lang w:val="en-US"/>
              </w:rPr>
            </w:pPr>
            <w:r>
              <w:rPr>
                <w:sz w:val="20"/>
                <w:lang w:val="en-US"/>
              </w:rPr>
              <w:t>5.259</w:t>
            </w:r>
          </w:p>
        </w:tc>
        <w:tc>
          <w:tcPr>
            <w:tcW w:w="845" w:type="dxa"/>
            <w:vAlign w:val="center"/>
          </w:tcPr>
          <w:p w14:paraId="2AEA7B42" w14:textId="43312349" w:rsidR="003F6277" w:rsidRDefault="00D866CD" w:rsidP="00716840">
            <w:pPr>
              <w:pStyle w:val="Tekst"/>
              <w:ind w:firstLine="0"/>
              <w:jc w:val="center"/>
              <w:rPr>
                <w:sz w:val="20"/>
                <w:lang w:val="en-US"/>
              </w:rPr>
            </w:pPr>
            <w:r>
              <w:rPr>
                <w:sz w:val="20"/>
                <w:lang w:val="en-US"/>
              </w:rPr>
              <w:t>8.023</w:t>
            </w:r>
          </w:p>
        </w:tc>
      </w:tr>
      <w:tr w:rsidR="003F6277" w:rsidRPr="00821AD3" w14:paraId="1F51E4BF" w14:textId="77777777" w:rsidTr="00020A3F">
        <w:trPr>
          <w:trHeight w:val="230"/>
        </w:trPr>
        <w:tc>
          <w:tcPr>
            <w:tcW w:w="574" w:type="dxa"/>
            <w:vMerge/>
          </w:tcPr>
          <w:p w14:paraId="3FB9E6AB" w14:textId="77777777" w:rsidR="003F6277" w:rsidRDefault="003F6277" w:rsidP="00541D79">
            <w:pPr>
              <w:pStyle w:val="Tekst"/>
              <w:ind w:firstLine="0"/>
              <w:rPr>
                <w:sz w:val="20"/>
                <w:lang w:val="en-US"/>
              </w:rPr>
            </w:pPr>
          </w:p>
        </w:tc>
        <w:tc>
          <w:tcPr>
            <w:tcW w:w="1302" w:type="dxa"/>
          </w:tcPr>
          <w:p w14:paraId="59D31765" w14:textId="5806FF39" w:rsidR="003F6277" w:rsidRDefault="003F6277" w:rsidP="00541D79">
            <w:pPr>
              <w:pStyle w:val="Tekst"/>
              <w:ind w:firstLine="0"/>
              <w:jc w:val="center"/>
              <w:rPr>
                <w:sz w:val="20"/>
                <w:lang w:val="en-US"/>
              </w:rPr>
            </w:pPr>
            <w:r>
              <w:rPr>
                <w:sz w:val="20"/>
                <w:lang w:val="en-US"/>
              </w:rPr>
              <w:t xml:space="preserve">Otto-SS DE </w:t>
            </w:r>
            <w:r w:rsidR="00716840">
              <w:rPr>
                <w:sz w:val="20"/>
                <w:lang w:val="en-US"/>
              </w:rPr>
              <w:t xml:space="preserve">– </w:t>
            </w:r>
            <w:r>
              <w:rPr>
                <w:sz w:val="20"/>
                <w:lang w:val="en-US"/>
              </w:rPr>
              <w:t>crankcase</w:t>
            </w:r>
          </w:p>
        </w:tc>
        <w:tc>
          <w:tcPr>
            <w:tcW w:w="756" w:type="dxa"/>
            <w:vAlign w:val="center"/>
          </w:tcPr>
          <w:p w14:paraId="12355F67" w14:textId="38107A79" w:rsidR="003F6277" w:rsidRDefault="009113C7" w:rsidP="00716840">
            <w:pPr>
              <w:pStyle w:val="Tekst"/>
              <w:ind w:firstLine="0"/>
              <w:jc w:val="center"/>
              <w:rPr>
                <w:sz w:val="20"/>
                <w:lang w:val="en-US"/>
              </w:rPr>
            </w:pPr>
            <w:r>
              <w:rPr>
                <w:sz w:val="20"/>
                <w:lang w:val="en-US"/>
              </w:rPr>
              <w:t>3.280</w:t>
            </w:r>
          </w:p>
        </w:tc>
        <w:tc>
          <w:tcPr>
            <w:tcW w:w="952" w:type="dxa"/>
            <w:vAlign w:val="center"/>
          </w:tcPr>
          <w:p w14:paraId="2499A080" w14:textId="4A0BB525" w:rsidR="003F6277" w:rsidRDefault="009113C7" w:rsidP="00716840">
            <w:pPr>
              <w:pStyle w:val="Tekst"/>
              <w:ind w:firstLine="0"/>
              <w:jc w:val="center"/>
              <w:rPr>
                <w:sz w:val="20"/>
                <w:lang w:val="en-US"/>
              </w:rPr>
            </w:pPr>
            <w:r>
              <w:rPr>
                <w:sz w:val="20"/>
                <w:lang w:val="en-US"/>
              </w:rPr>
              <w:t>0.05977</w:t>
            </w:r>
          </w:p>
        </w:tc>
        <w:tc>
          <w:tcPr>
            <w:tcW w:w="952" w:type="dxa"/>
            <w:vAlign w:val="center"/>
          </w:tcPr>
          <w:p w14:paraId="34AF1D2D" w14:textId="2E0DAC04" w:rsidR="003F6277" w:rsidRDefault="009113C7" w:rsidP="00716840">
            <w:pPr>
              <w:pStyle w:val="Tekst"/>
              <w:ind w:firstLine="0"/>
              <w:jc w:val="center"/>
              <w:rPr>
                <w:sz w:val="20"/>
                <w:lang w:val="en-US"/>
              </w:rPr>
            </w:pPr>
            <w:r>
              <w:rPr>
                <w:sz w:val="20"/>
                <w:lang w:val="en-US"/>
              </w:rPr>
              <w:t>0.00014</w:t>
            </w:r>
          </w:p>
        </w:tc>
        <w:tc>
          <w:tcPr>
            <w:tcW w:w="882" w:type="dxa"/>
            <w:vAlign w:val="center"/>
          </w:tcPr>
          <w:p w14:paraId="3CFF168C" w14:textId="46CC87FF" w:rsidR="003F6277" w:rsidRDefault="009113C7" w:rsidP="00716840">
            <w:pPr>
              <w:pStyle w:val="Tekst"/>
              <w:ind w:firstLine="0"/>
              <w:jc w:val="center"/>
              <w:rPr>
                <w:sz w:val="20"/>
                <w:lang w:val="en-US"/>
              </w:rPr>
            </w:pPr>
            <w:r>
              <w:rPr>
                <w:sz w:val="20"/>
                <w:lang w:val="en-US"/>
              </w:rPr>
              <w:t>0.00002</w:t>
            </w:r>
          </w:p>
        </w:tc>
        <w:tc>
          <w:tcPr>
            <w:tcW w:w="825" w:type="dxa"/>
            <w:vAlign w:val="center"/>
          </w:tcPr>
          <w:p w14:paraId="2110D27A" w14:textId="5F659929" w:rsidR="003F6277" w:rsidRDefault="009113C7" w:rsidP="00716840">
            <w:pPr>
              <w:pStyle w:val="Tekst"/>
              <w:ind w:firstLine="0"/>
              <w:jc w:val="center"/>
              <w:rPr>
                <w:sz w:val="20"/>
                <w:lang w:val="en-US"/>
              </w:rPr>
            </w:pPr>
            <w:r>
              <w:rPr>
                <w:sz w:val="20"/>
                <w:lang w:val="en-US"/>
              </w:rPr>
              <w:t>5.490</w:t>
            </w:r>
          </w:p>
        </w:tc>
        <w:tc>
          <w:tcPr>
            <w:tcW w:w="845" w:type="dxa"/>
            <w:vAlign w:val="center"/>
          </w:tcPr>
          <w:p w14:paraId="1D674F17" w14:textId="6DDC98A3" w:rsidR="003F6277" w:rsidRDefault="009113C7" w:rsidP="00716840">
            <w:pPr>
              <w:pStyle w:val="Tekst"/>
              <w:ind w:firstLine="0"/>
              <w:jc w:val="center"/>
              <w:rPr>
                <w:sz w:val="20"/>
                <w:lang w:val="en-US"/>
              </w:rPr>
            </w:pPr>
            <w:r>
              <w:rPr>
                <w:sz w:val="20"/>
                <w:lang w:val="en-US"/>
              </w:rPr>
              <w:t>8.580</w:t>
            </w:r>
          </w:p>
        </w:tc>
      </w:tr>
      <w:tr w:rsidR="003F6277" w:rsidRPr="00821AD3" w14:paraId="089EC263" w14:textId="77777777" w:rsidTr="00020A3F">
        <w:trPr>
          <w:trHeight w:val="230"/>
        </w:trPr>
        <w:tc>
          <w:tcPr>
            <w:tcW w:w="574" w:type="dxa"/>
            <w:vMerge/>
          </w:tcPr>
          <w:p w14:paraId="353EAC45" w14:textId="77777777" w:rsidR="003F6277" w:rsidRDefault="003F6277" w:rsidP="003F6277">
            <w:pPr>
              <w:pStyle w:val="Tekst"/>
              <w:ind w:firstLine="0"/>
              <w:rPr>
                <w:sz w:val="20"/>
                <w:lang w:val="en-US"/>
              </w:rPr>
            </w:pPr>
          </w:p>
        </w:tc>
        <w:tc>
          <w:tcPr>
            <w:tcW w:w="1302" w:type="dxa"/>
          </w:tcPr>
          <w:p w14:paraId="4063B140" w14:textId="6306AEFC" w:rsidR="003F6277" w:rsidRDefault="003F6277" w:rsidP="003F6277">
            <w:pPr>
              <w:pStyle w:val="Tekst"/>
              <w:ind w:firstLine="0"/>
              <w:jc w:val="center"/>
              <w:rPr>
                <w:sz w:val="20"/>
                <w:lang w:val="en-US"/>
              </w:rPr>
            </w:pPr>
            <w:r>
              <w:rPr>
                <w:sz w:val="20"/>
                <w:lang w:val="en-US"/>
              </w:rPr>
              <w:t>Otto-MS DE</w:t>
            </w:r>
          </w:p>
        </w:tc>
        <w:tc>
          <w:tcPr>
            <w:tcW w:w="756" w:type="dxa"/>
            <w:vAlign w:val="center"/>
          </w:tcPr>
          <w:p w14:paraId="4B93CA74" w14:textId="78A88C76" w:rsidR="003F6277" w:rsidRDefault="009113C7" w:rsidP="00716840">
            <w:pPr>
              <w:pStyle w:val="Tekst"/>
              <w:ind w:firstLine="0"/>
              <w:jc w:val="center"/>
              <w:rPr>
                <w:sz w:val="20"/>
                <w:lang w:val="en-US"/>
              </w:rPr>
            </w:pPr>
            <w:r>
              <w:rPr>
                <w:sz w:val="20"/>
                <w:lang w:val="en-US"/>
              </w:rPr>
              <w:t>3.280</w:t>
            </w:r>
          </w:p>
        </w:tc>
        <w:tc>
          <w:tcPr>
            <w:tcW w:w="952" w:type="dxa"/>
            <w:vAlign w:val="center"/>
          </w:tcPr>
          <w:p w14:paraId="7FCA94AF" w14:textId="4C1C5F81" w:rsidR="003F6277" w:rsidRDefault="009113C7" w:rsidP="00716840">
            <w:pPr>
              <w:pStyle w:val="Tekst"/>
              <w:ind w:firstLine="0"/>
              <w:jc w:val="center"/>
              <w:rPr>
                <w:sz w:val="20"/>
                <w:lang w:val="en-US"/>
              </w:rPr>
            </w:pPr>
            <w:r>
              <w:rPr>
                <w:sz w:val="20"/>
                <w:lang w:val="en-US"/>
              </w:rPr>
              <w:t>0.03499</w:t>
            </w:r>
          </w:p>
        </w:tc>
        <w:tc>
          <w:tcPr>
            <w:tcW w:w="952" w:type="dxa"/>
            <w:vAlign w:val="center"/>
          </w:tcPr>
          <w:p w14:paraId="19B707E5" w14:textId="079547F6" w:rsidR="003F6277" w:rsidRDefault="009113C7" w:rsidP="00716840">
            <w:pPr>
              <w:pStyle w:val="Tekst"/>
              <w:ind w:firstLine="0"/>
              <w:jc w:val="center"/>
              <w:rPr>
                <w:sz w:val="20"/>
                <w:lang w:val="en-US"/>
              </w:rPr>
            </w:pPr>
            <w:r>
              <w:rPr>
                <w:sz w:val="20"/>
                <w:lang w:val="en-US"/>
              </w:rPr>
              <w:t>0.00014</w:t>
            </w:r>
          </w:p>
        </w:tc>
        <w:tc>
          <w:tcPr>
            <w:tcW w:w="882" w:type="dxa"/>
            <w:vAlign w:val="center"/>
          </w:tcPr>
          <w:p w14:paraId="1DB69BA8" w14:textId="2F8A1C73" w:rsidR="003F6277" w:rsidRDefault="009113C7" w:rsidP="00716840">
            <w:pPr>
              <w:pStyle w:val="Tekst"/>
              <w:ind w:firstLine="0"/>
              <w:jc w:val="center"/>
              <w:rPr>
                <w:sz w:val="20"/>
                <w:lang w:val="en-US"/>
              </w:rPr>
            </w:pPr>
            <w:r>
              <w:rPr>
                <w:sz w:val="20"/>
                <w:lang w:val="en-US"/>
              </w:rPr>
              <w:t>0.00002</w:t>
            </w:r>
          </w:p>
        </w:tc>
        <w:tc>
          <w:tcPr>
            <w:tcW w:w="825" w:type="dxa"/>
            <w:vAlign w:val="center"/>
          </w:tcPr>
          <w:p w14:paraId="017E501B" w14:textId="5DDD34C9" w:rsidR="003F6277" w:rsidRDefault="009113C7" w:rsidP="00716840">
            <w:pPr>
              <w:pStyle w:val="Tekst"/>
              <w:ind w:firstLine="0"/>
              <w:jc w:val="center"/>
              <w:rPr>
                <w:sz w:val="20"/>
                <w:lang w:val="en-US"/>
              </w:rPr>
            </w:pPr>
            <w:r>
              <w:rPr>
                <w:sz w:val="20"/>
                <w:lang w:val="en-US"/>
              </w:rPr>
              <w:t>4.600</w:t>
            </w:r>
          </w:p>
        </w:tc>
        <w:tc>
          <w:tcPr>
            <w:tcW w:w="845" w:type="dxa"/>
            <w:vAlign w:val="center"/>
          </w:tcPr>
          <w:p w14:paraId="65D3C7A4" w14:textId="0D8EBAFD" w:rsidR="003F6277" w:rsidRDefault="009113C7" w:rsidP="00716840">
            <w:pPr>
              <w:pStyle w:val="Tekst"/>
              <w:ind w:firstLine="0"/>
              <w:jc w:val="center"/>
              <w:rPr>
                <w:sz w:val="20"/>
                <w:lang w:val="en-US"/>
              </w:rPr>
            </w:pPr>
            <w:r>
              <w:rPr>
                <w:sz w:val="20"/>
                <w:lang w:val="en-US"/>
              </w:rPr>
              <w:t>6.427</w:t>
            </w:r>
          </w:p>
        </w:tc>
      </w:tr>
      <w:tr w:rsidR="003F6277" w:rsidRPr="00821AD3" w14:paraId="185836A3" w14:textId="77777777" w:rsidTr="00020A3F">
        <w:trPr>
          <w:trHeight w:val="230"/>
        </w:trPr>
        <w:tc>
          <w:tcPr>
            <w:tcW w:w="574" w:type="dxa"/>
            <w:vMerge/>
          </w:tcPr>
          <w:p w14:paraId="4FF3E542" w14:textId="77777777" w:rsidR="003F6277" w:rsidRDefault="003F6277" w:rsidP="003F6277">
            <w:pPr>
              <w:pStyle w:val="Tekst"/>
              <w:ind w:firstLine="0"/>
              <w:rPr>
                <w:sz w:val="20"/>
                <w:lang w:val="en-US"/>
              </w:rPr>
            </w:pPr>
          </w:p>
        </w:tc>
        <w:tc>
          <w:tcPr>
            <w:tcW w:w="1302" w:type="dxa"/>
          </w:tcPr>
          <w:p w14:paraId="5AAF0239" w14:textId="2A1859A9" w:rsidR="003F6277" w:rsidRDefault="003F6277" w:rsidP="003F6277">
            <w:pPr>
              <w:pStyle w:val="Tekst"/>
              <w:ind w:firstLine="0"/>
              <w:jc w:val="center"/>
              <w:rPr>
                <w:sz w:val="20"/>
                <w:lang w:val="en-US"/>
              </w:rPr>
            </w:pPr>
            <w:r>
              <w:rPr>
                <w:sz w:val="20"/>
                <w:lang w:val="en-US"/>
              </w:rPr>
              <w:t xml:space="preserve">Otto-MS DE </w:t>
            </w:r>
            <w:r w:rsidR="00716840">
              <w:rPr>
                <w:sz w:val="20"/>
                <w:lang w:val="en-US"/>
              </w:rPr>
              <w:t xml:space="preserve">– </w:t>
            </w:r>
            <w:r>
              <w:rPr>
                <w:sz w:val="20"/>
                <w:lang w:val="en-US"/>
              </w:rPr>
              <w:t>crankcase</w:t>
            </w:r>
          </w:p>
        </w:tc>
        <w:tc>
          <w:tcPr>
            <w:tcW w:w="756" w:type="dxa"/>
            <w:vAlign w:val="center"/>
          </w:tcPr>
          <w:p w14:paraId="06F5181B" w14:textId="6EE688A8" w:rsidR="003F6277" w:rsidRDefault="009113C7" w:rsidP="00716840">
            <w:pPr>
              <w:pStyle w:val="Tekst"/>
              <w:ind w:firstLine="0"/>
              <w:jc w:val="center"/>
              <w:rPr>
                <w:sz w:val="20"/>
                <w:lang w:val="en-US"/>
              </w:rPr>
            </w:pPr>
            <w:r>
              <w:rPr>
                <w:sz w:val="20"/>
                <w:lang w:val="en-US"/>
              </w:rPr>
              <w:t>3.280</w:t>
            </w:r>
          </w:p>
        </w:tc>
        <w:tc>
          <w:tcPr>
            <w:tcW w:w="952" w:type="dxa"/>
            <w:vAlign w:val="center"/>
          </w:tcPr>
          <w:p w14:paraId="03AA7DA8" w14:textId="22EF062C" w:rsidR="003F6277" w:rsidRDefault="009113C7" w:rsidP="00716840">
            <w:pPr>
              <w:pStyle w:val="Tekst"/>
              <w:ind w:firstLine="0"/>
              <w:jc w:val="center"/>
              <w:rPr>
                <w:sz w:val="20"/>
                <w:lang w:val="en-US"/>
              </w:rPr>
            </w:pPr>
            <w:r>
              <w:rPr>
                <w:sz w:val="20"/>
                <w:lang w:val="en-US"/>
              </w:rPr>
              <w:t>0.04175</w:t>
            </w:r>
          </w:p>
        </w:tc>
        <w:tc>
          <w:tcPr>
            <w:tcW w:w="952" w:type="dxa"/>
            <w:vAlign w:val="center"/>
          </w:tcPr>
          <w:p w14:paraId="3EA35233" w14:textId="52F7E7B2" w:rsidR="003F6277" w:rsidRDefault="009113C7" w:rsidP="00716840">
            <w:pPr>
              <w:pStyle w:val="Tekst"/>
              <w:ind w:firstLine="0"/>
              <w:jc w:val="center"/>
              <w:rPr>
                <w:sz w:val="20"/>
                <w:lang w:val="en-US"/>
              </w:rPr>
            </w:pPr>
            <w:r>
              <w:rPr>
                <w:sz w:val="20"/>
                <w:lang w:val="en-US"/>
              </w:rPr>
              <w:t>0.00014</w:t>
            </w:r>
          </w:p>
        </w:tc>
        <w:tc>
          <w:tcPr>
            <w:tcW w:w="882" w:type="dxa"/>
            <w:vAlign w:val="center"/>
          </w:tcPr>
          <w:p w14:paraId="1A9542E6" w14:textId="6072474F" w:rsidR="003F6277" w:rsidRDefault="009113C7" w:rsidP="00716840">
            <w:pPr>
              <w:pStyle w:val="Tekst"/>
              <w:ind w:firstLine="0"/>
              <w:jc w:val="center"/>
              <w:rPr>
                <w:sz w:val="20"/>
                <w:lang w:val="en-US"/>
              </w:rPr>
            </w:pPr>
            <w:r>
              <w:rPr>
                <w:sz w:val="20"/>
                <w:lang w:val="en-US"/>
              </w:rPr>
              <w:t>0.00002</w:t>
            </w:r>
          </w:p>
        </w:tc>
        <w:tc>
          <w:tcPr>
            <w:tcW w:w="825" w:type="dxa"/>
            <w:vAlign w:val="center"/>
          </w:tcPr>
          <w:p w14:paraId="6B343942" w14:textId="7D63AF96" w:rsidR="003F6277" w:rsidRDefault="009113C7" w:rsidP="00716840">
            <w:pPr>
              <w:pStyle w:val="Tekst"/>
              <w:ind w:firstLine="0"/>
              <w:jc w:val="center"/>
              <w:rPr>
                <w:sz w:val="20"/>
                <w:lang w:val="en-US"/>
              </w:rPr>
            </w:pPr>
            <w:r>
              <w:rPr>
                <w:sz w:val="20"/>
                <w:lang w:val="en-US"/>
              </w:rPr>
              <w:t>4.844</w:t>
            </w:r>
          </w:p>
        </w:tc>
        <w:tc>
          <w:tcPr>
            <w:tcW w:w="845" w:type="dxa"/>
            <w:vAlign w:val="center"/>
          </w:tcPr>
          <w:p w14:paraId="4D8592A9" w14:textId="5A52CDA0" w:rsidR="003F6277" w:rsidRDefault="009113C7" w:rsidP="00716840">
            <w:pPr>
              <w:pStyle w:val="Tekst"/>
              <w:ind w:firstLine="0"/>
              <w:jc w:val="center"/>
              <w:rPr>
                <w:sz w:val="20"/>
                <w:lang w:val="en-US"/>
              </w:rPr>
            </w:pPr>
            <w:r>
              <w:rPr>
                <w:sz w:val="20"/>
                <w:lang w:val="en-US"/>
              </w:rPr>
              <w:t>7.015</w:t>
            </w:r>
          </w:p>
        </w:tc>
      </w:tr>
      <w:tr w:rsidR="003F6277" w:rsidRPr="00821AD3" w14:paraId="34F8B235" w14:textId="77777777" w:rsidTr="00020A3F">
        <w:trPr>
          <w:trHeight w:val="230"/>
        </w:trPr>
        <w:tc>
          <w:tcPr>
            <w:tcW w:w="574" w:type="dxa"/>
            <w:vMerge/>
          </w:tcPr>
          <w:p w14:paraId="2BB5F1BA" w14:textId="77777777" w:rsidR="003F6277" w:rsidRDefault="003F6277" w:rsidP="00541D79">
            <w:pPr>
              <w:pStyle w:val="Tekst"/>
              <w:ind w:firstLine="0"/>
              <w:rPr>
                <w:sz w:val="20"/>
                <w:lang w:val="en-US"/>
              </w:rPr>
            </w:pPr>
          </w:p>
        </w:tc>
        <w:tc>
          <w:tcPr>
            <w:tcW w:w="1302" w:type="dxa"/>
          </w:tcPr>
          <w:p w14:paraId="7E072942" w14:textId="10B65EC6" w:rsidR="003F6277" w:rsidRDefault="003F6277" w:rsidP="00541D79">
            <w:pPr>
              <w:pStyle w:val="Tekst"/>
              <w:ind w:firstLine="0"/>
              <w:jc w:val="center"/>
              <w:rPr>
                <w:sz w:val="20"/>
                <w:lang w:val="en-US"/>
              </w:rPr>
            </w:pPr>
            <w:r>
              <w:rPr>
                <w:sz w:val="20"/>
                <w:lang w:val="en-US"/>
              </w:rPr>
              <w:t>Diesel</w:t>
            </w:r>
          </w:p>
        </w:tc>
        <w:tc>
          <w:tcPr>
            <w:tcW w:w="756" w:type="dxa"/>
            <w:vAlign w:val="center"/>
          </w:tcPr>
          <w:p w14:paraId="73C6CE1F" w14:textId="7643B77D" w:rsidR="003F6277" w:rsidRDefault="009113C7" w:rsidP="00716840">
            <w:pPr>
              <w:pStyle w:val="Tekst"/>
              <w:ind w:firstLine="0"/>
              <w:jc w:val="center"/>
              <w:rPr>
                <w:sz w:val="20"/>
                <w:lang w:val="en-US"/>
              </w:rPr>
            </w:pPr>
            <w:r>
              <w:rPr>
                <w:sz w:val="20"/>
                <w:lang w:val="en-US"/>
              </w:rPr>
              <w:t>3.280</w:t>
            </w:r>
          </w:p>
        </w:tc>
        <w:tc>
          <w:tcPr>
            <w:tcW w:w="952" w:type="dxa"/>
            <w:vAlign w:val="center"/>
          </w:tcPr>
          <w:p w14:paraId="2CDE72EC" w14:textId="79054811" w:rsidR="003F6277" w:rsidRDefault="009113C7" w:rsidP="00716840">
            <w:pPr>
              <w:pStyle w:val="Tekst"/>
              <w:ind w:firstLine="0"/>
              <w:jc w:val="center"/>
              <w:rPr>
                <w:sz w:val="20"/>
                <w:lang w:val="en-US"/>
              </w:rPr>
            </w:pPr>
            <w:r>
              <w:rPr>
                <w:sz w:val="20"/>
                <w:lang w:val="en-US"/>
              </w:rPr>
              <w:t>0.01958</w:t>
            </w:r>
          </w:p>
        </w:tc>
        <w:tc>
          <w:tcPr>
            <w:tcW w:w="952" w:type="dxa"/>
            <w:vAlign w:val="center"/>
          </w:tcPr>
          <w:p w14:paraId="6CEBA4B8" w14:textId="63916B11" w:rsidR="003F6277" w:rsidRDefault="009113C7" w:rsidP="00716840">
            <w:pPr>
              <w:pStyle w:val="Tekst"/>
              <w:ind w:firstLine="0"/>
              <w:jc w:val="center"/>
              <w:rPr>
                <w:sz w:val="20"/>
                <w:lang w:val="en-US"/>
              </w:rPr>
            </w:pPr>
            <w:r>
              <w:rPr>
                <w:sz w:val="20"/>
                <w:lang w:val="en-US"/>
              </w:rPr>
              <w:t>0.00023</w:t>
            </w:r>
          </w:p>
        </w:tc>
        <w:tc>
          <w:tcPr>
            <w:tcW w:w="882" w:type="dxa"/>
            <w:vAlign w:val="center"/>
          </w:tcPr>
          <w:p w14:paraId="271B10A5" w14:textId="597D1169" w:rsidR="003F6277" w:rsidRDefault="009113C7" w:rsidP="00716840">
            <w:pPr>
              <w:pStyle w:val="Tekst"/>
              <w:ind w:firstLine="0"/>
              <w:jc w:val="center"/>
              <w:rPr>
                <w:sz w:val="20"/>
                <w:lang w:val="en-US"/>
              </w:rPr>
            </w:pPr>
            <w:r>
              <w:rPr>
                <w:sz w:val="20"/>
                <w:lang w:val="en-US"/>
              </w:rPr>
              <w:t>0.00001</w:t>
            </w:r>
          </w:p>
        </w:tc>
        <w:tc>
          <w:tcPr>
            <w:tcW w:w="825" w:type="dxa"/>
            <w:vAlign w:val="center"/>
          </w:tcPr>
          <w:p w14:paraId="545A4FB3" w14:textId="6342F737" w:rsidR="003F6277" w:rsidRDefault="009113C7" w:rsidP="00716840">
            <w:pPr>
              <w:pStyle w:val="Tekst"/>
              <w:ind w:firstLine="0"/>
              <w:jc w:val="center"/>
              <w:rPr>
                <w:sz w:val="20"/>
                <w:lang w:val="en-US"/>
              </w:rPr>
            </w:pPr>
            <w:r>
              <w:rPr>
                <w:sz w:val="20"/>
                <w:lang w:val="en-US"/>
              </w:rPr>
              <w:t>4.063</w:t>
            </w:r>
          </w:p>
        </w:tc>
        <w:tc>
          <w:tcPr>
            <w:tcW w:w="845" w:type="dxa"/>
            <w:vAlign w:val="center"/>
          </w:tcPr>
          <w:p w14:paraId="27B063FD" w14:textId="3E680FC6" w:rsidR="003F6277" w:rsidRDefault="009113C7" w:rsidP="00716840">
            <w:pPr>
              <w:pStyle w:val="Tekst"/>
              <w:ind w:firstLine="0"/>
              <w:jc w:val="center"/>
              <w:rPr>
                <w:sz w:val="20"/>
                <w:lang w:val="en-US"/>
              </w:rPr>
            </w:pPr>
            <w:r>
              <w:rPr>
                <w:sz w:val="20"/>
                <w:lang w:val="en-US"/>
              </w:rPr>
              <w:t>5.077</w:t>
            </w:r>
          </w:p>
        </w:tc>
      </w:tr>
      <w:tr w:rsidR="003F6277" w:rsidRPr="00821AD3" w14:paraId="533CB9C9" w14:textId="77777777" w:rsidTr="00020A3F">
        <w:trPr>
          <w:trHeight w:val="230"/>
        </w:trPr>
        <w:tc>
          <w:tcPr>
            <w:tcW w:w="574" w:type="dxa"/>
            <w:vMerge/>
          </w:tcPr>
          <w:p w14:paraId="1C44EE87" w14:textId="77777777" w:rsidR="003F6277" w:rsidRDefault="003F6277" w:rsidP="00541D79">
            <w:pPr>
              <w:pStyle w:val="Tekst"/>
              <w:ind w:firstLine="0"/>
              <w:rPr>
                <w:sz w:val="20"/>
                <w:lang w:val="en-US"/>
              </w:rPr>
            </w:pPr>
          </w:p>
        </w:tc>
        <w:tc>
          <w:tcPr>
            <w:tcW w:w="1302" w:type="dxa"/>
          </w:tcPr>
          <w:p w14:paraId="1B7F7D66" w14:textId="13052F26" w:rsidR="003F6277" w:rsidRDefault="003F6277" w:rsidP="00541D79">
            <w:pPr>
              <w:pStyle w:val="Tekst"/>
              <w:ind w:firstLine="0"/>
              <w:jc w:val="center"/>
              <w:rPr>
                <w:sz w:val="20"/>
                <w:lang w:val="en-US"/>
              </w:rPr>
            </w:pPr>
            <w:r>
              <w:rPr>
                <w:sz w:val="20"/>
                <w:lang w:val="en-US"/>
              </w:rPr>
              <w:t>LBSI</w:t>
            </w:r>
            <w:r w:rsidRPr="000428A9">
              <w:rPr>
                <w:sz w:val="20"/>
                <w:vertAlign w:val="superscript"/>
                <w:lang w:val="en-US"/>
              </w:rPr>
              <w:t>*</w:t>
            </w:r>
          </w:p>
        </w:tc>
        <w:tc>
          <w:tcPr>
            <w:tcW w:w="756" w:type="dxa"/>
            <w:vAlign w:val="center"/>
          </w:tcPr>
          <w:p w14:paraId="04FA690E" w14:textId="42FCCD82" w:rsidR="003F6277" w:rsidRDefault="009113C7" w:rsidP="00716840">
            <w:pPr>
              <w:pStyle w:val="Tekst"/>
              <w:ind w:firstLine="0"/>
              <w:jc w:val="center"/>
              <w:rPr>
                <w:sz w:val="20"/>
                <w:lang w:val="en-US"/>
              </w:rPr>
            </w:pPr>
            <w:r>
              <w:rPr>
                <w:sz w:val="20"/>
                <w:lang w:val="en-US"/>
              </w:rPr>
              <w:t>3.280</w:t>
            </w:r>
          </w:p>
        </w:tc>
        <w:tc>
          <w:tcPr>
            <w:tcW w:w="952" w:type="dxa"/>
            <w:vAlign w:val="center"/>
          </w:tcPr>
          <w:p w14:paraId="159CFE01" w14:textId="41BEE7E9" w:rsidR="003F6277" w:rsidRDefault="009113C7" w:rsidP="00716840">
            <w:pPr>
              <w:pStyle w:val="Tekst"/>
              <w:ind w:firstLine="0"/>
              <w:jc w:val="center"/>
              <w:rPr>
                <w:sz w:val="20"/>
                <w:lang w:val="en-US"/>
              </w:rPr>
            </w:pPr>
            <w:r>
              <w:rPr>
                <w:sz w:val="20"/>
                <w:lang w:val="en-US"/>
              </w:rPr>
              <w:t>0.04438</w:t>
            </w:r>
          </w:p>
        </w:tc>
        <w:tc>
          <w:tcPr>
            <w:tcW w:w="952" w:type="dxa"/>
            <w:vAlign w:val="center"/>
          </w:tcPr>
          <w:p w14:paraId="42C91D84" w14:textId="1A90329D" w:rsidR="003F6277" w:rsidRDefault="009113C7" w:rsidP="00716840">
            <w:pPr>
              <w:pStyle w:val="Tekst"/>
              <w:ind w:firstLine="0"/>
              <w:jc w:val="center"/>
              <w:rPr>
                <w:sz w:val="20"/>
                <w:lang w:val="en-US"/>
              </w:rPr>
            </w:pPr>
            <w:r>
              <w:rPr>
                <w:sz w:val="20"/>
                <w:lang w:val="en-US"/>
              </w:rPr>
              <w:t>0.00014</w:t>
            </w:r>
          </w:p>
        </w:tc>
        <w:tc>
          <w:tcPr>
            <w:tcW w:w="882" w:type="dxa"/>
            <w:vAlign w:val="center"/>
          </w:tcPr>
          <w:p w14:paraId="387E30CA" w14:textId="41368326" w:rsidR="003F6277" w:rsidRDefault="009113C7" w:rsidP="00716840">
            <w:pPr>
              <w:pStyle w:val="Tekst"/>
              <w:ind w:firstLine="0"/>
              <w:jc w:val="center"/>
              <w:rPr>
                <w:sz w:val="20"/>
                <w:lang w:val="en-US"/>
              </w:rPr>
            </w:pPr>
            <w:r>
              <w:rPr>
                <w:sz w:val="20"/>
                <w:lang w:val="en-US"/>
              </w:rPr>
              <w:t>0.00002</w:t>
            </w:r>
          </w:p>
        </w:tc>
        <w:tc>
          <w:tcPr>
            <w:tcW w:w="825" w:type="dxa"/>
            <w:vAlign w:val="center"/>
          </w:tcPr>
          <w:p w14:paraId="5C227512" w14:textId="31F908EA" w:rsidR="003F6277" w:rsidRDefault="00303CFD" w:rsidP="00716840">
            <w:pPr>
              <w:pStyle w:val="Tekst"/>
              <w:ind w:firstLine="0"/>
              <w:jc w:val="center"/>
              <w:rPr>
                <w:sz w:val="20"/>
                <w:lang w:val="en-US"/>
              </w:rPr>
            </w:pPr>
            <w:r>
              <w:rPr>
                <w:sz w:val="20"/>
                <w:lang w:val="en-US"/>
              </w:rPr>
              <w:t>4.936</w:t>
            </w:r>
          </w:p>
        </w:tc>
        <w:tc>
          <w:tcPr>
            <w:tcW w:w="845" w:type="dxa"/>
            <w:vAlign w:val="center"/>
          </w:tcPr>
          <w:p w14:paraId="30F21C84" w14:textId="25E55271" w:rsidR="003F6277" w:rsidRDefault="00303CFD" w:rsidP="00716840">
            <w:pPr>
              <w:pStyle w:val="Tekst"/>
              <w:ind w:firstLine="0"/>
              <w:jc w:val="center"/>
              <w:rPr>
                <w:sz w:val="20"/>
                <w:lang w:val="en-US"/>
              </w:rPr>
            </w:pPr>
            <w:r>
              <w:rPr>
                <w:sz w:val="20"/>
                <w:lang w:val="en-US"/>
              </w:rPr>
              <w:t>7.242</w:t>
            </w:r>
          </w:p>
        </w:tc>
      </w:tr>
      <w:tr w:rsidR="003F6277" w:rsidRPr="00821AD3" w14:paraId="3DFFFEFE" w14:textId="77777777" w:rsidTr="00020A3F">
        <w:trPr>
          <w:trHeight w:val="230"/>
        </w:trPr>
        <w:tc>
          <w:tcPr>
            <w:tcW w:w="574" w:type="dxa"/>
            <w:vMerge/>
          </w:tcPr>
          <w:p w14:paraId="059FB0BF" w14:textId="77777777" w:rsidR="003F6277" w:rsidRDefault="003F6277" w:rsidP="00541D79">
            <w:pPr>
              <w:pStyle w:val="Tekst"/>
              <w:ind w:firstLine="0"/>
              <w:rPr>
                <w:sz w:val="20"/>
                <w:lang w:val="en-US"/>
              </w:rPr>
            </w:pPr>
          </w:p>
        </w:tc>
        <w:tc>
          <w:tcPr>
            <w:tcW w:w="1302" w:type="dxa"/>
          </w:tcPr>
          <w:p w14:paraId="5A4C38AC" w14:textId="204E37FF" w:rsidR="003F6277" w:rsidRDefault="003F6277" w:rsidP="00541D79">
            <w:pPr>
              <w:pStyle w:val="Tekst"/>
              <w:ind w:firstLine="0"/>
              <w:jc w:val="center"/>
              <w:rPr>
                <w:sz w:val="20"/>
                <w:lang w:val="en-US"/>
              </w:rPr>
            </w:pPr>
            <w:r>
              <w:rPr>
                <w:sz w:val="20"/>
                <w:lang w:val="en-US"/>
              </w:rPr>
              <w:t>LBSI</w:t>
            </w:r>
            <w:r w:rsidRPr="000428A9">
              <w:rPr>
                <w:sz w:val="20"/>
                <w:vertAlign w:val="superscript"/>
                <w:lang w:val="en-US"/>
              </w:rPr>
              <w:t>*</w:t>
            </w:r>
            <w:r w:rsidR="00716840">
              <w:rPr>
                <w:sz w:val="20"/>
                <w:lang w:val="en-US"/>
              </w:rPr>
              <w:br/>
              <w:t xml:space="preserve">– </w:t>
            </w:r>
            <w:r>
              <w:rPr>
                <w:sz w:val="20"/>
                <w:lang w:val="en-US"/>
              </w:rPr>
              <w:t>crankcase</w:t>
            </w:r>
          </w:p>
        </w:tc>
        <w:tc>
          <w:tcPr>
            <w:tcW w:w="756" w:type="dxa"/>
            <w:vAlign w:val="center"/>
          </w:tcPr>
          <w:p w14:paraId="3926FB8C" w14:textId="4E174E8E" w:rsidR="003F6277" w:rsidRDefault="009113C7" w:rsidP="00716840">
            <w:pPr>
              <w:pStyle w:val="Tekst"/>
              <w:ind w:firstLine="0"/>
              <w:jc w:val="center"/>
              <w:rPr>
                <w:sz w:val="20"/>
                <w:lang w:val="en-US"/>
              </w:rPr>
            </w:pPr>
            <w:r>
              <w:rPr>
                <w:sz w:val="20"/>
                <w:lang w:val="en-US"/>
              </w:rPr>
              <w:t>3.280</w:t>
            </w:r>
          </w:p>
        </w:tc>
        <w:tc>
          <w:tcPr>
            <w:tcW w:w="952" w:type="dxa"/>
            <w:vAlign w:val="center"/>
          </w:tcPr>
          <w:p w14:paraId="278CF444" w14:textId="73B926D8" w:rsidR="003F6277" w:rsidRDefault="009113C7" w:rsidP="00716840">
            <w:pPr>
              <w:pStyle w:val="Tekst"/>
              <w:ind w:firstLine="0"/>
              <w:jc w:val="center"/>
              <w:rPr>
                <w:sz w:val="20"/>
                <w:lang w:val="en-US"/>
              </w:rPr>
            </w:pPr>
            <w:r>
              <w:rPr>
                <w:sz w:val="20"/>
                <w:lang w:val="en-US"/>
              </w:rPr>
              <w:t>0.05079</w:t>
            </w:r>
          </w:p>
        </w:tc>
        <w:tc>
          <w:tcPr>
            <w:tcW w:w="952" w:type="dxa"/>
            <w:vAlign w:val="center"/>
          </w:tcPr>
          <w:p w14:paraId="65839657" w14:textId="7EE93685" w:rsidR="003F6277" w:rsidRDefault="009113C7" w:rsidP="00716840">
            <w:pPr>
              <w:pStyle w:val="Tekst"/>
              <w:ind w:firstLine="0"/>
              <w:jc w:val="center"/>
              <w:rPr>
                <w:sz w:val="20"/>
                <w:lang w:val="en-US"/>
              </w:rPr>
            </w:pPr>
            <w:r>
              <w:rPr>
                <w:sz w:val="20"/>
                <w:lang w:val="en-US"/>
              </w:rPr>
              <w:t>0.00014</w:t>
            </w:r>
          </w:p>
        </w:tc>
        <w:tc>
          <w:tcPr>
            <w:tcW w:w="882" w:type="dxa"/>
            <w:vAlign w:val="center"/>
          </w:tcPr>
          <w:p w14:paraId="042B65F2" w14:textId="2B4099DF" w:rsidR="003F6277" w:rsidRDefault="009113C7" w:rsidP="00716840">
            <w:pPr>
              <w:pStyle w:val="Tekst"/>
              <w:ind w:firstLine="0"/>
              <w:jc w:val="center"/>
              <w:rPr>
                <w:sz w:val="20"/>
                <w:lang w:val="en-US"/>
              </w:rPr>
            </w:pPr>
            <w:r>
              <w:rPr>
                <w:sz w:val="20"/>
                <w:lang w:val="en-US"/>
              </w:rPr>
              <w:t>0.00002</w:t>
            </w:r>
          </w:p>
        </w:tc>
        <w:tc>
          <w:tcPr>
            <w:tcW w:w="825" w:type="dxa"/>
            <w:vAlign w:val="center"/>
          </w:tcPr>
          <w:p w14:paraId="0FF29C54" w14:textId="5E385B0F" w:rsidR="003F6277" w:rsidRDefault="00303CFD" w:rsidP="00716840">
            <w:pPr>
              <w:pStyle w:val="Tekst"/>
              <w:ind w:firstLine="0"/>
              <w:jc w:val="center"/>
              <w:rPr>
                <w:sz w:val="20"/>
                <w:lang w:val="en-US"/>
              </w:rPr>
            </w:pPr>
            <w:r>
              <w:rPr>
                <w:sz w:val="20"/>
                <w:lang w:val="en-US"/>
              </w:rPr>
              <w:t>5.167</w:t>
            </w:r>
          </w:p>
        </w:tc>
        <w:tc>
          <w:tcPr>
            <w:tcW w:w="845" w:type="dxa"/>
            <w:vAlign w:val="center"/>
          </w:tcPr>
          <w:p w14:paraId="69640AD2" w14:textId="30FBAC16" w:rsidR="003F6277" w:rsidRDefault="00303CFD" w:rsidP="00716840">
            <w:pPr>
              <w:pStyle w:val="Tekst"/>
              <w:ind w:firstLine="0"/>
              <w:jc w:val="center"/>
              <w:rPr>
                <w:sz w:val="20"/>
                <w:lang w:val="en-US"/>
              </w:rPr>
            </w:pPr>
            <w:r>
              <w:rPr>
                <w:sz w:val="20"/>
                <w:lang w:val="en-US"/>
              </w:rPr>
              <w:t>7.799</w:t>
            </w:r>
          </w:p>
        </w:tc>
      </w:tr>
    </w:tbl>
    <w:p w14:paraId="0910B6CD" w14:textId="635A4F0A" w:rsidR="004D51A8" w:rsidRDefault="003F6277" w:rsidP="002D3ADC">
      <w:pPr>
        <w:pStyle w:val="Tekst"/>
        <w:spacing w:before="60"/>
        <w:ind w:firstLine="0"/>
        <w:rPr>
          <w:sz w:val="20"/>
          <w:lang w:val="en-US"/>
        </w:rPr>
      </w:pPr>
      <w:r w:rsidRPr="000428A9">
        <w:rPr>
          <w:sz w:val="20"/>
          <w:vertAlign w:val="superscript"/>
          <w:lang w:val="en-US"/>
        </w:rPr>
        <w:t>*</w:t>
      </w:r>
      <w:r w:rsidRPr="003F6277">
        <w:rPr>
          <w:sz w:val="20"/>
          <w:lang w:val="en-US"/>
        </w:rPr>
        <w:t xml:space="preserve"> LBSI </w:t>
      </w:r>
      <w:r w:rsidR="008D09D5">
        <w:rPr>
          <w:sz w:val="20"/>
          <w:lang w:val="en-US"/>
        </w:rPr>
        <w:t xml:space="preserve">– </w:t>
      </w:r>
      <w:r w:rsidRPr="003F6277">
        <w:rPr>
          <w:sz w:val="20"/>
          <w:lang w:val="en-US"/>
        </w:rPr>
        <w:t>low burn spark engine</w:t>
      </w:r>
      <w:r w:rsidR="008D09D5">
        <w:rPr>
          <w:sz w:val="20"/>
          <w:lang w:val="en-US"/>
        </w:rPr>
        <w:t>;</w:t>
      </w:r>
    </w:p>
    <w:p w14:paraId="411994BB" w14:textId="1A971D39" w:rsidR="008D09D5" w:rsidRPr="003F6277" w:rsidRDefault="008D09D5" w:rsidP="003F6277">
      <w:pPr>
        <w:pStyle w:val="Tekst"/>
        <w:ind w:firstLine="0"/>
        <w:rPr>
          <w:sz w:val="20"/>
          <w:lang w:val="en-US"/>
        </w:rPr>
      </w:pPr>
      <w:r>
        <w:rPr>
          <w:sz w:val="20"/>
          <w:lang w:val="en-US"/>
        </w:rPr>
        <w:t>DE – diesel engine.</w:t>
      </w:r>
    </w:p>
    <w:p w14:paraId="063D2847" w14:textId="77777777" w:rsidR="003F6277" w:rsidRDefault="003F6277" w:rsidP="00AB79FA">
      <w:pPr>
        <w:pStyle w:val="Tekst"/>
        <w:ind w:firstLine="357"/>
        <w:rPr>
          <w:sz w:val="22"/>
          <w:szCs w:val="22"/>
          <w:lang w:val="en-US"/>
        </w:rPr>
      </w:pPr>
    </w:p>
    <w:p w14:paraId="3232F0F3" w14:textId="50C0A2A3" w:rsidR="002A6F46" w:rsidRPr="00443642" w:rsidRDefault="00544221" w:rsidP="00AB79FA">
      <w:pPr>
        <w:pStyle w:val="Tekst"/>
        <w:ind w:firstLine="357"/>
        <w:rPr>
          <w:sz w:val="22"/>
          <w:szCs w:val="22"/>
          <w:lang w:val="en-US"/>
        </w:rPr>
      </w:pPr>
      <w:r w:rsidRPr="00443642">
        <w:rPr>
          <w:sz w:val="22"/>
          <w:szCs w:val="22"/>
          <w:lang w:val="en-US"/>
        </w:rPr>
        <w:t xml:space="preserve">It </w:t>
      </w:r>
      <w:r w:rsidR="00D57A23" w:rsidRPr="00443642">
        <w:rPr>
          <w:sz w:val="22"/>
          <w:szCs w:val="22"/>
          <w:lang w:val="en-US"/>
        </w:rPr>
        <w:t>appear</w:t>
      </w:r>
      <w:r w:rsidRPr="00443642">
        <w:rPr>
          <w:sz w:val="22"/>
          <w:szCs w:val="22"/>
          <w:lang w:val="en-US"/>
        </w:rPr>
        <w:t xml:space="preserve">s </w:t>
      </w:r>
      <w:r w:rsidR="00D57A23" w:rsidRPr="00443642">
        <w:rPr>
          <w:sz w:val="22"/>
          <w:szCs w:val="22"/>
          <w:lang w:val="en-US"/>
        </w:rPr>
        <w:t>from Tab</w:t>
      </w:r>
      <w:r w:rsidR="00443642" w:rsidRPr="00443642">
        <w:rPr>
          <w:sz w:val="22"/>
          <w:szCs w:val="22"/>
          <w:lang w:val="en-US"/>
        </w:rPr>
        <w:t xml:space="preserve">le </w:t>
      </w:r>
      <w:r w:rsidR="00D57A23" w:rsidRPr="00443642">
        <w:rPr>
          <w:sz w:val="22"/>
          <w:szCs w:val="22"/>
          <w:lang w:val="en-US"/>
        </w:rPr>
        <w:t xml:space="preserve">2 </w:t>
      </w:r>
      <w:r w:rsidRPr="00443642">
        <w:rPr>
          <w:sz w:val="22"/>
          <w:szCs w:val="22"/>
          <w:lang w:val="en-US"/>
        </w:rPr>
        <w:t xml:space="preserve">that </w:t>
      </w:r>
      <w:r w:rsidR="0074161E" w:rsidRPr="00443642">
        <w:rPr>
          <w:sz w:val="22"/>
          <w:szCs w:val="22"/>
          <w:lang w:val="en-US"/>
        </w:rPr>
        <w:t xml:space="preserve">the best </w:t>
      </w:r>
      <w:r w:rsidR="00D57A23" w:rsidRPr="00443642">
        <w:rPr>
          <w:sz w:val="22"/>
          <w:szCs w:val="22"/>
          <w:lang w:val="en-US"/>
        </w:rPr>
        <w:t xml:space="preserve">environmental marine </w:t>
      </w:r>
      <w:r w:rsidR="0074161E" w:rsidRPr="00443642">
        <w:rPr>
          <w:sz w:val="22"/>
          <w:szCs w:val="22"/>
          <w:lang w:val="en-US"/>
        </w:rPr>
        <w:t xml:space="preserve">fuels </w:t>
      </w:r>
      <w:r w:rsidR="00D57A23" w:rsidRPr="00443642">
        <w:rPr>
          <w:sz w:val="22"/>
          <w:szCs w:val="22"/>
          <w:lang w:val="en-US"/>
        </w:rPr>
        <w:t xml:space="preserve">(the lowest factor </w:t>
      </w:r>
      <w:r w:rsidR="00D57A23" w:rsidRPr="00443642">
        <w:rPr>
          <w:sz w:val="20"/>
          <w:lang w:val="en-US"/>
        </w:rPr>
        <w:t>CEF</w:t>
      </w:r>
      <w:r w:rsidR="00D57A23" w:rsidRPr="00443642">
        <w:rPr>
          <w:sz w:val="20"/>
          <w:vertAlign w:val="subscript"/>
          <w:lang w:val="en-US"/>
        </w:rPr>
        <w:t>WTW</w:t>
      </w:r>
      <w:r w:rsidR="00D57A23" w:rsidRPr="00443642">
        <w:rPr>
          <w:sz w:val="22"/>
          <w:szCs w:val="22"/>
          <w:lang w:val="en-US"/>
        </w:rPr>
        <w:t>) are currently used. For new type</w:t>
      </w:r>
      <w:r w:rsidR="00A90EDD">
        <w:rPr>
          <w:sz w:val="22"/>
          <w:szCs w:val="22"/>
          <w:lang w:val="en-US"/>
        </w:rPr>
        <w:t>s</w:t>
      </w:r>
      <w:r w:rsidR="00D57A23" w:rsidRPr="00443642">
        <w:rPr>
          <w:sz w:val="22"/>
          <w:szCs w:val="22"/>
          <w:lang w:val="en-US"/>
        </w:rPr>
        <w:t xml:space="preserve"> </w:t>
      </w:r>
      <w:r w:rsidR="00A90EDD">
        <w:rPr>
          <w:sz w:val="22"/>
          <w:szCs w:val="22"/>
          <w:lang w:val="en-US"/>
        </w:rPr>
        <w:t xml:space="preserve">of </w:t>
      </w:r>
      <w:r w:rsidR="00D57A23" w:rsidRPr="00443642">
        <w:rPr>
          <w:sz w:val="22"/>
          <w:szCs w:val="22"/>
          <w:lang w:val="en-US"/>
        </w:rPr>
        <w:t>marine fuels, new technologies that reduce emissions to the environment (atmosphere) in their extraction, processing, storage and transport can significantly improve th</w:t>
      </w:r>
      <w:r w:rsidR="002A6F46" w:rsidRPr="00443642">
        <w:rPr>
          <w:sz w:val="22"/>
          <w:szCs w:val="22"/>
          <w:lang w:val="en-US"/>
        </w:rPr>
        <w:t>is condition.</w:t>
      </w:r>
      <w:r w:rsidR="002A6F46" w:rsidRPr="005C088A">
        <w:rPr>
          <w:spacing w:val="-2"/>
          <w:sz w:val="22"/>
          <w:szCs w:val="22"/>
          <w:lang w:val="en-US"/>
        </w:rPr>
        <w:t xml:space="preserve"> This </w:t>
      </w:r>
      <w:r w:rsidR="00A90EDD" w:rsidRPr="005C088A">
        <w:rPr>
          <w:spacing w:val="-2"/>
          <w:sz w:val="22"/>
          <w:szCs w:val="22"/>
          <w:lang w:val="en-US"/>
        </w:rPr>
        <w:t>goal should</w:t>
      </w:r>
      <w:r w:rsidR="002A6F46" w:rsidRPr="005C088A">
        <w:rPr>
          <w:spacing w:val="-2"/>
          <w:sz w:val="22"/>
          <w:szCs w:val="22"/>
          <w:lang w:val="en-US"/>
        </w:rPr>
        <w:t xml:space="preserve"> be achieved to justify the reasonableness of introducing new regulations. They cannot </w:t>
      </w:r>
      <w:r w:rsidR="00A90EDD" w:rsidRPr="005C088A">
        <w:rPr>
          <w:spacing w:val="-2"/>
          <w:sz w:val="22"/>
          <w:szCs w:val="22"/>
          <w:lang w:val="en-US"/>
        </w:rPr>
        <w:t>be concerned only with the direct combustion of fuel</w:t>
      </w:r>
      <w:r w:rsidR="002A6F46" w:rsidRPr="005C088A">
        <w:rPr>
          <w:spacing w:val="-2"/>
          <w:sz w:val="22"/>
          <w:szCs w:val="22"/>
          <w:lang w:val="en-US"/>
        </w:rPr>
        <w:t xml:space="preserve"> in engines.</w:t>
      </w:r>
    </w:p>
    <w:p w14:paraId="72E0D953" w14:textId="77777777" w:rsidR="005C088A" w:rsidRDefault="005C088A" w:rsidP="00AB79FA">
      <w:pPr>
        <w:pStyle w:val="Tekst"/>
        <w:ind w:firstLine="357"/>
        <w:rPr>
          <w:sz w:val="22"/>
          <w:szCs w:val="22"/>
          <w:lang w:val="en-US"/>
        </w:rPr>
      </w:pPr>
    </w:p>
    <w:p w14:paraId="12685E77" w14:textId="660898F5" w:rsidR="00753CB3" w:rsidRPr="00443642" w:rsidRDefault="002F0BBD" w:rsidP="00AB79FA">
      <w:pPr>
        <w:pStyle w:val="Tekst"/>
        <w:ind w:firstLine="357"/>
        <w:rPr>
          <w:sz w:val="22"/>
          <w:szCs w:val="22"/>
          <w:lang w:val="en-US"/>
        </w:rPr>
      </w:pPr>
      <w:r w:rsidRPr="00443642">
        <w:rPr>
          <w:sz w:val="22"/>
          <w:szCs w:val="22"/>
          <w:lang w:val="en-US"/>
        </w:rPr>
        <w:lastRenderedPageBreak/>
        <w:t xml:space="preserve">Biofuels should be considered very prudently during the assessment </w:t>
      </w:r>
      <w:r w:rsidR="00A90EDD">
        <w:rPr>
          <w:sz w:val="22"/>
          <w:szCs w:val="22"/>
          <w:lang w:val="en-US"/>
        </w:rPr>
        <w:t xml:space="preserve">of </w:t>
      </w:r>
      <w:r w:rsidRPr="00443642">
        <w:rPr>
          <w:sz w:val="22"/>
          <w:szCs w:val="22"/>
          <w:lang w:val="en-US"/>
        </w:rPr>
        <w:t>how ecological the fuels are (</w:t>
      </w:r>
      <w:r w:rsidR="00621F94" w:rsidRPr="00443642">
        <w:rPr>
          <w:sz w:val="22"/>
          <w:szCs w:val="22"/>
          <w:lang w:val="en-US"/>
        </w:rPr>
        <w:t xml:space="preserve">earlier mentioned a </w:t>
      </w:r>
      <w:r w:rsidRPr="00443642">
        <w:rPr>
          <w:sz w:val="22"/>
          <w:szCs w:val="22"/>
          <w:lang w:val="en-US"/>
        </w:rPr>
        <w:t>proposal of exempt</w:t>
      </w:r>
      <w:r w:rsidR="00A90EDD">
        <w:rPr>
          <w:sz w:val="22"/>
          <w:szCs w:val="22"/>
          <w:lang w:val="en-US"/>
        </w:rPr>
        <w:t>ion</w:t>
      </w:r>
      <w:r w:rsidR="00621F94" w:rsidRPr="00443642">
        <w:rPr>
          <w:sz w:val="22"/>
          <w:szCs w:val="22"/>
          <w:lang w:val="en-US"/>
        </w:rPr>
        <w:t xml:space="preserve"> from emission tax) because they come from various sources and </w:t>
      </w:r>
      <w:r w:rsidR="00A90EDD">
        <w:rPr>
          <w:sz w:val="22"/>
          <w:szCs w:val="22"/>
          <w:lang w:val="en-US"/>
        </w:rPr>
        <w:t xml:space="preserve">a </w:t>
      </w:r>
      <w:r w:rsidR="00621F94" w:rsidRPr="00443642">
        <w:rPr>
          <w:sz w:val="22"/>
          <w:szCs w:val="22"/>
          <w:lang w:val="en-US"/>
        </w:rPr>
        <w:t xml:space="preserve">significant amount of energy </w:t>
      </w:r>
      <w:r w:rsidR="00A90EDD">
        <w:rPr>
          <w:sz w:val="22"/>
          <w:szCs w:val="22"/>
          <w:lang w:val="en-US"/>
        </w:rPr>
        <w:t>is</w:t>
      </w:r>
      <w:r w:rsidR="00621F94" w:rsidRPr="00443642">
        <w:rPr>
          <w:sz w:val="22"/>
          <w:szCs w:val="22"/>
          <w:lang w:val="en-US"/>
        </w:rPr>
        <w:t xml:space="preserve"> consumed in the production process of the final product, which in current conditions means emissions into the atmosphere, which should be taken into account when assessing the environmental performance of fuels</w:t>
      </w:r>
      <w:r w:rsidR="008F55D5" w:rsidRPr="00443642">
        <w:rPr>
          <w:sz w:val="22"/>
          <w:szCs w:val="22"/>
          <w:lang w:val="en-US"/>
        </w:rPr>
        <w:t xml:space="preserve"> (</w:t>
      </w:r>
      <w:proofErr w:type="spellStart"/>
      <w:r w:rsidR="008F55D5" w:rsidRPr="00443642">
        <w:rPr>
          <w:sz w:val="22"/>
          <w:szCs w:val="22"/>
          <w:lang w:val="en-US"/>
        </w:rPr>
        <w:t>Biernat</w:t>
      </w:r>
      <w:proofErr w:type="spellEnd"/>
      <w:r w:rsidR="008F55D5" w:rsidRPr="00443642">
        <w:rPr>
          <w:sz w:val="22"/>
          <w:szCs w:val="22"/>
          <w:lang w:val="en-US"/>
        </w:rPr>
        <w:t xml:space="preserve"> et al</w:t>
      </w:r>
      <w:r w:rsidR="00064DE8">
        <w:rPr>
          <w:sz w:val="22"/>
          <w:szCs w:val="22"/>
          <w:lang w:val="en-US"/>
        </w:rPr>
        <w:t>.</w:t>
      </w:r>
      <w:r w:rsidR="008F55D5" w:rsidRPr="00443642">
        <w:rPr>
          <w:sz w:val="22"/>
          <w:szCs w:val="22"/>
          <w:lang w:val="en-US"/>
        </w:rPr>
        <w:t xml:space="preserve"> 2021, DNV GL 2018)</w:t>
      </w:r>
      <w:r w:rsidR="00621F94" w:rsidRPr="00443642">
        <w:rPr>
          <w:sz w:val="22"/>
          <w:szCs w:val="22"/>
          <w:lang w:val="en-US"/>
        </w:rPr>
        <w:t>.</w:t>
      </w:r>
    </w:p>
    <w:p w14:paraId="386446C3" w14:textId="5986AEAE" w:rsidR="00544221" w:rsidRPr="00443642" w:rsidRDefault="00572FE5" w:rsidP="00AB79FA">
      <w:pPr>
        <w:pStyle w:val="Tekst"/>
        <w:ind w:firstLine="357"/>
        <w:rPr>
          <w:sz w:val="22"/>
          <w:szCs w:val="22"/>
          <w:lang w:val="en-US"/>
        </w:rPr>
      </w:pPr>
      <w:r w:rsidRPr="00443642">
        <w:rPr>
          <w:sz w:val="22"/>
          <w:szCs w:val="22"/>
          <w:lang w:val="en-US"/>
        </w:rPr>
        <w:t xml:space="preserve">Due to the carbon dioxide emission reduction targets (over 30%), LNG will be a transient fuel </w:t>
      </w:r>
      <w:r w:rsidR="00FE60A6" w:rsidRPr="00443642">
        <w:rPr>
          <w:sz w:val="22"/>
          <w:szCs w:val="22"/>
          <w:lang w:val="en-US"/>
        </w:rPr>
        <w:t xml:space="preserve">in </w:t>
      </w:r>
      <w:r w:rsidRPr="00443642">
        <w:rPr>
          <w:sz w:val="22"/>
          <w:szCs w:val="22"/>
          <w:lang w:val="en-US"/>
        </w:rPr>
        <w:t xml:space="preserve">maritime transport. </w:t>
      </w:r>
      <w:r w:rsidR="00EE09F0" w:rsidRPr="00443642">
        <w:rPr>
          <w:sz w:val="22"/>
          <w:szCs w:val="22"/>
          <w:lang w:val="en-US"/>
        </w:rPr>
        <w:t>T</w:t>
      </w:r>
      <w:r w:rsidR="00A90EDD">
        <w:rPr>
          <w:sz w:val="22"/>
          <w:szCs w:val="22"/>
          <w:lang w:val="en-US"/>
        </w:rPr>
        <w:t>herefore, t</w:t>
      </w:r>
      <w:r w:rsidR="00EE09F0" w:rsidRPr="00443642">
        <w:rPr>
          <w:sz w:val="22"/>
          <w:szCs w:val="22"/>
          <w:lang w:val="en-US"/>
        </w:rPr>
        <w:t xml:space="preserve">he reasonableness of building port infrastructure in terms of LNG bunkering on ships is being called into question. As a result, </w:t>
      </w:r>
      <w:r w:rsidR="007743B2" w:rsidRPr="00443642">
        <w:rPr>
          <w:sz w:val="22"/>
          <w:szCs w:val="22"/>
          <w:lang w:val="en-US"/>
        </w:rPr>
        <w:t>attempts are being made to design the LNG distribution network for other purposes: fueling a power plant or combined power and heat plant, for port infrastructure demand, supplying methane for chemical processes etc.</w:t>
      </w:r>
      <w:r w:rsidR="008F55D5" w:rsidRPr="00443642">
        <w:rPr>
          <w:sz w:val="22"/>
          <w:szCs w:val="22"/>
          <w:lang w:val="en-US"/>
        </w:rPr>
        <w:t xml:space="preserve"> (ECOFYS 2019, </w:t>
      </w:r>
      <w:proofErr w:type="spellStart"/>
      <w:r w:rsidR="008F55D5" w:rsidRPr="00443642">
        <w:rPr>
          <w:sz w:val="22"/>
          <w:szCs w:val="22"/>
          <w:lang w:val="en-US"/>
        </w:rPr>
        <w:t>Hamelinck</w:t>
      </w:r>
      <w:proofErr w:type="spellEnd"/>
      <w:r w:rsidR="008F55D5" w:rsidRPr="00443642">
        <w:rPr>
          <w:sz w:val="22"/>
          <w:szCs w:val="22"/>
          <w:lang w:val="en-US"/>
        </w:rPr>
        <w:t xml:space="preserve"> et al</w:t>
      </w:r>
      <w:r w:rsidR="00064DE8">
        <w:rPr>
          <w:sz w:val="22"/>
          <w:szCs w:val="22"/>
          <w:lang w:val="en-US"/>
        </w:rPr>
        <w:t>.</w:t>
      </w:r>
      <w:r w:rsidR="008F55D5" w:rsidRPr="00443642">
        <w:rPr>
          <w:sz w:val="22"/>
          <w:szCs w:val="22"/>
          <w:lang w:val="en-US"/>
        </w:rPr>
        <w:t xml:space="preserve"> 2019).</w:t>
      </w:r>
    </w:p>
    <w:p w14:paraId="0A08A4CE" w14:textId="75D5881B" w:rsidR="00621F94" w:rsidRPr="00443642" w:rsidRDefault="00CE3B5E" w:rsidP="00AB79FA">
      <w:pPr>
        <w:pStyle w:val="Tekst"/>
        <w:ind w:firstLine="357"/>
        <w:rPr>
          <w:sz w:val="22"/>
          <w:szCs w:val="22"/>
          <w:lang w:val="en-US"/>
        </w:rPr>
      </w:pPr>
      <w:r w:rsidRPr="00443642">
        <w:rPr>
          <w:sz w:val="22"/>
          <w:szCs w:val="22"/>
          <w:lang w:val="en-US"/>
        </w:rPr>
        <w:t xml:space="preserve">This article does not </w:t>
      </w:r>
      <w:proofErr w:type="spellStart"/>
      <w:r w:rsidR="00A90EDD">
        <w:rPr>
          <w:sz w:val="22"/>
          <w:szCs w:val="22"/>
          <w:lang w:val="en-US"/>
        </w:rPr>
        <w:t>analyse</w:t>
      </w:r>
      <w:proofErr w:type="spellEnd"/>
      <w:r w:rsidRPr="00443642">
        <w:rPr>
          <w:sz w:val="22"/>
          <w:szCs w:val="22"/>
          <w:lang w:val="en-US"/>
        </w:rPr>
        <w:t xml:space="preserve"> </w:t>
      </w:r>
      <w:r w:rsidR="00753CB3" w:rsidRPr="00443642">
        <w:rPr>
          <w:sz w:val="22"/>
          <w:szCs w:val="22"/>
          <w:lang w:val="en-US"/>
        </w:rPr>
        <w:t xml:space="preserve">the use of hydrogen as a marine fuel (only </w:t>
      </w:r>
      <w:r w:rsidR="007A7FCC" w:rsidRPr="00443642">
        <w:rPr>
          <w:sz w:val="22"/>
          <w:szCs w:val="22"/>
          <w:lang w:val="en-US"/>
        </w:rPr>
        <w:t xml:space="preserve">emission factors are given </w:t>
      </w:r>
      <w:r w:rsidR="00753CB3" w:rsidRPr="00443642">
        <w:rPr>
          <w:sz w:val="22"/>
          <w:szCs w:val="22"/>
          <w:lang w:val="en-US"/>
        </w:rPr>
        <w:t>in Tab</w:t>
      </w:r>
      <w:r w:rsidR="00443642">
        <w:rPr>
          <w:sz w:val="22"/>
          <w:szCs w:val="22"/>
          <w:lang w:val="en-US"/>
        </w:rPr>
        <w:t xml:space="preserve">le </w:t>
      </w:r>
      <w:r w:rsidR="00753CB3" w:rsidRPr="00443642">
        <w:rPr>
          <w:sz w:val="22"/>
          <w:szCs w:val="22"/>
          <w:lang w:val="en-US"/>
        </w:rPr>
        <w:t xml:space="preserve">1). </w:t>
      </w:r>
      <w:r w:rsidR="00A90EDD">
        <w:rPr>
          <w:sz w:val="22"/>
          <w:szCs w:val="22"/>
          <w:lang w:val="en-US"/>
        </w:rPr>
        <w:t>However, i</w:t>
      </w:r>
      <w:r w:rsidR="00753CB3" w:rsidRPr="00443642">
        <w:rPr>
          <w:sz w:val="22"/>
          <w:szCs w:val="22"/>
          <w:lang w:val="en-US"/>
        </w:rPr>
        <w:t xml:space="preserve">t seems to be the fuel of the future (beyond 2050). </w:t>
      </w:r>
      <w:r w:rsidR="00A90EDD">
        <w:rPr>
          <w:sz w:val="22"/>
          <w:szCs w:val="22"/>
          <w:lang w:val="en-US"/>
        </w:rPr>
        <w:t>Therefore, i</w:t>
      </w:r>
      <w:r w:rsidR="00753CB3" w:rsidRPr="00443642">
        <w:rPr>
          <w:sz w:val="22"/>
          <w:szCs w:val="22"/>
          <w:lang w:val="en-US"/>
        </w:rPr>
        <w:t xml:space="preserve">t will be </w:t>
      </w:r>
      <w:r w:rsidR="00A90EDD">
        <w:rPr>
          <w:sz w:val="22"/>
          <w:szCs w:val="22"/>
          <w:lang w:val="en-US"/>
        </w:rPr>
        <w:t>of</w:t>
      </w:r>
      <w:r w:rsidR="00753CB3" w:rsidRPr="00443642">
        <w:rPr>
          <w:sz w:val="22"/>
          <w:szCs w:val="22"/>
          <w:lang w:val="en-US"/>
        </w:rPr>
        <w:t xml:space="preserve"> great importance </w:t>
      </w:r>
      <w:r w:rsidR="00A90EDD">
        <w:rPr>
          <w:sz w:val="22"/>
          <w:szCs w:val="22"/>
          <w:lang w:val="en-US"/>
        </w:rPr>
        <w:t>to</w:t>
      </w:r>
      <w:r w:rsidR="00753CB3" w:rsidRPr="00443642">
        <w:rPr>
          <w:sz w:val="22"/>
          <w:szCs w:val="22"/>
          <w:lang w:val="en-US"/>
        </w:rPr>
        <w:t xml:space="preserve"> which processes hydrogen is obtained and the impact on the environment until the final product is delivered to the fuel tank on the ship.</w:t>
      </w:r>
    </w:p>
    <w:p w14:paraId="66DAB61A" w14:textId="77777777" w:rsidR="001777C4" w:rsidRDefault="00CE6816" w:rsidP="004145CB">
      <w:pPr>
        <w:pStyle w:val="Rn1"/>
        <w:rPr>
          <w:lang w:val="en-US"/>
        </w:rPr>
      </w:pPr>
      <w:r>
        <w:rPr>
          <w:lang w:val="en-US"/>
        </w:rPr>
        <w:t>6</w:t>
      </w:r>
      <w:r w:rsidR="001777C4">
        <w:rPr>
          <w:lang w:val="en-US"/>
        </w:rPr>
        <w:t>. Final remarks</w:t>
      </w:r>
    </w:p>
    <w:p w14:paraId="7705FBBC" w14:textId="6E377337" w:rsidR="00F9777E" w:rsidRDefault="003B4DD5" w:rsidP="004145CB">
      <w:pPr>
        <w:pStyle w:val="Tekst"/>
        <w:ind w:firstLine="0"/>
        <w:rPr>
          <w:sz w:val="22"/>
          <w:szCs w:val="22"/>
          <w:lang w:val="en-US"/>
        </w:rPr>
      </w:pPr>
      <w:r>
        <w:rPr>
          <w:sz w:val="22"/>
          <w:szCs w:val="22"/>
          <w:lang w:val="en-US"/>
        </w:rPr>
        <w:t xml:space="preserve">Reducing the harmful substances </w:t>
      </w:r>
      <w:r w:rsidR="00A90EDD">
        <w:rPr>
          <w:sz w:val="22"/>
          <w:szCs w:val="22"/>
          <w:lang w:val="en-US"/>
        </w:rPr>
        <w:t xml:space="preserve">emission </w:t>
      </w:r>
      <w:r>
        <w:rPr>
          <w:sz w:val="22"/>
          <w:szCs w:val="22"/>
          <w:lang w:val="en-US"/>
        </w:rPr>
        <w:t>into the atmosphere forced the search for greener marine fuels. Thirty years ago, it seemed that the era of natural gas</w:t>
      </w:r>
      <w:r w:rsidR="00B57CC6">
        <w:rPr>
          <w:sz w:val="22"/>
          <w:szCs w:val="22"/>
          <w:lang w:val="en-US"/>
        </w:rPr>
        <w:t xml:space="preserve"> </w:t>
      </w:r>
      <w:r>
        <w:rPr>
          <w:sz w:val="22"/>
          <w:szCs w:val="22"/>
          <w:lang w:val="en-US"/>
        </w:rPr>
        <w:t xml:space="preserve">would come. </w:t>
      </w:r>
      <w:r w:rsidR="00B57CC6">
        <w:rPr>
          <w:sz w:val="22"/>
          <w:szCs w:val="22"/>
          <w:lang w:val="en-US"/>
        </w:rPr>
        <w:t>It is coming with a long delay</w:t>
      </w:r>
      <w:r w:rsidR="00A90EDD">
        <w:rPr>
          <w:sz w:val="22"/>
          <w:szCs w:val="22"/>
          <w:lang w:val="en-US"/>
        </w:rPr>
        <w:t>,</w:t>
      </w:r>
      <w:r w:rsidR="00B57CC6">
        <w:rPr>
          <w:sz w:val="22"/>
          <w:szCs w:val="22"/>
          <w:lang w:val="en-US"/>
        </w:rPr>
        <w:t xml:space="preserve"> and as a result</w:t>
      </w:r>
      <w:r w:rsidR="00A90EDD">
        <w:rPr>
          <w:sz w:val="22"/>
          <w:szCs w:val="22"/>
          <w:lang w:val="en-US"/>
        </w:rPr>
        <w:t>,</w:t>
      </w:r>
      <w:r w:rsidR="00B57CC6">
        <w:rPr>
          <w:sz w:val="22"/>
          <w:szCs w:val="22"/>
          <w:lang w:val="en-US"/>
        </w:rPr>
        <w:t xml:space="preserve"> it will not happen.</w:t>
      </w:r>
    </w:p>
    <w:p w14:paraId="33AF1FEC" w14:textId="53B910F1" w:rsidR="002C21DB" w:rsidRDefault="00171D29" w:rsidP="00AB79FA">
      <w:pPr>
        <w:pStyle w:val="Tekst"/>
        <w:ind w:firstLine="357"/>
        <w:rPr>
          <w:sz w:val="22"/>
          <w:szCs w:val="22"/>
          <w:lang w:val="en-US"/>
        </w:rPr>
      </w:pPr>
      <w:r>
        <w:rPr>
          <w:sz w:val="22"/>
          <w:szCs w:val="22"/>
          <w:lang w:val="en-US"/>
        </w:rPr>
        <w:t xml:space="preserve">It seems that </w:t>
      </w:r>
      <w:r w:rsidR="00C2374B">
        <w:rPr>
          <w:sz w:val="22"/>
          <w:szCs w:val="22"/>
          <w:lang w:val="en-US"/>
        </w:rPr>
        <w:t xml:space="preserve">liquefied natural gas will be a marine fuel of significant importance, with a share, in the fuel market, at the level of 30-50% over the next twenty years. </w:t>
      </w:r>
      <w:r w:rsidR="00A26871">
        <w:rPr>
          <w:sz w:val="22"/>
          <w:szCs w:val="22"/>
          <w:lang w:val="en-US"/>
        </w:rPr>
        <w:t xml:space="preserve">In the coming years, many fuels will be used, and the share of one fuel in the market will not </w:t>
      </w:r>
      <w:r w:rsidR="00A90EDD">
        <w:rPr>
          <w:sz w:val="22"/>
          <w:szCs w:val="22"/>
          <w:lang w:val="en-US"/>
        </w:rPr>
        <w:t>dominate</w:t>
      </w:r>
      <w:r w:rsidR="00A26871">
        <w:rPr>
          <w:sz w:val="22"/>
          <w:szCs w:val="22"/>
          <w:lang w:val="en-US"/>
        </w:rPr>
        <w:t xml:space="preserve">. There will be a move away from fuels derived from crude oil and other fossil fuels. </w:t>
      </w:r>
      <w:r w:rsidR="00CE2575">
        <w:rPr>
          <w:sz w:val="22"/>
          <w:szCs w:val="22"/>
          <w:lang w:val="en-US"/>
        </w:rPr>
        <w:t>It will be of great importance to what extent the electricity used in creating new fuels will be green.</w:t>
      </w:r>
      <w:r w:rsidR="00172DCA">
        <w:rPr>
          <w:sz w:val="22"/>
          <w:szCs w:val="22"/>
          <w:lang w:val="en-US"/>
        </w:rPr>
        <w:t xml:space="preserve"> Regulations on the reduction of carbon dioxide emissions must lead to the process of its </w:t>
      </w:r>
      <w:r w:rsidR="002C21DB">
        <w:rPr>
          <w:sz w:val="22"/>
          <w:szCs w:val="22"/>
          <w:lang w:val="en-US"/>
        </w:rPr>
        <w:t xml:space="preserve">slow </w:t>
      </w:r>
      <w:r w:rsidR="00172DCA">
        <w:rPr>
          <w:sz w:val="22"/>
          <w:szCs w:val="22"/>
          <w:lang w:val="en-US"/>
        </w:rPr>
        <w:t xml:space="preserve">withdrawal after 2035. </w:t>
      </w:r>
      <w:r w:rsidR="002C21DB">
        <w:rPr>
          <w:sz w:val="22"/>
          <w:szCs w:val="22"/>
          <w:lang w:val="en-US"/>
        </w:rPr>
        <w:t>LNG as a marine fuel is temporary</w:t>
      </w:r>
      <w:r w:rsidR="00A90EDD">
        <w:rPr>
          <w:sz w:val="22"/>
          <w:szCs w:val="22"/>
          <w:lang w:val="en-US"/>
        </w:rPr>
        <w:t>,</w:t>
      </w:r>
      <w:r w:rsidR="002C21DB">
        <w:rPr>
          <w:sz w:val="22"/>
          <w:szCs w:val="22"/>
          <w:lang w:val="en-US"/>
        </w:rPr>
        <w:t xml:space="preserve"> and it is a typical cul-de-sac. LNG will continue to be used, but its share in the marine fuel market will decrease.</w:t>
      </w:r>
    </w:p>
    <w:p w14:paraId="5648F9D3" w14:textId="16E3B3F7" w:rsidR="00CE2575" w:rsidRDefault="00F9777E" w:rsidP="00AB79FA">
      <w:pPr>
        <w:pStyle w:val="Tekst"/>
        <w:ind w:firstLine="357"/>
        <w:rPr>
          <w:sz w:val="22"/>
          <w:szCs w:val="22"/>
          <w:lang w:val="en-US"/>
        </w:rPr>
      </w:pPr>
      <w:r>
        <w:rPr>
          <w:sz w:val="22"/>
          <w:szCs w:val="22"/>
          <w:lang w:val="en-US"/>
        </w:rPr>
        <w:t>We have to wait for the hydrogen era.</w:t>
      </w:r>
    </w:p>
    <w:p w14:paraId="248131EC" w14:textId="77777777" w:rsidR="007F7CB2" w:rsidRDefault="007F7CB2">
      <w:pPr>
        <w:spacing w:after="160" w:line="259" w:lineRule="auto"/>
        <w:rPr>
          <w:rFonts w:eastAsiaTheme="minorHAnsi" w:cstheme="minorBidi"/>
          <w:b/>
          <w:sz w:val="22"/>
          <w:szCs w:val="22"/>
          <w:lang w:eastAsia="en-US"/>
        </w:rPr>
      </w:pPr>
      <w:r>
        <w:br w:type="page"/>
      </w:r>
    </w:p>
    <w:p w14:paraId="4F19C0A3" w14:textId="22515045" w:rsidR="001D41EC" w:rsidRPr="004145CB" w:rsidRDefault="001D41EC" w:rsidP="004145CB">
      <w:pPr>
        <w:pStyle w:val="Rn2"/>
      </w:pPr>
      <w:proofErr w:type="spellStart"/>
      <w:r w:rsidRPr="004145CB">
        <w:lastRenderedPageBreak/>
        <w:t>References</w:t>
      </w:r>
      <w:proofErr w:type="spellEnd"/>
    </w:p>
    <w:p w14:paraId="322767B0" w14:textId="643EA4CB" w:rsidR="000669E0" w:rsidRPr="004145CB" w:rsidRDefault="000669E0" w:rsidP="004145CB">
      <w:pPr>
        <w:pStyle w:val="Rlit"/>
      </w:pPr>
      <w:proofErr w:type="spellStart"/>
      <w:r w:rsidRPr="004145CB">
        <w:t>Biernat</w:t>
      </w:r>
      <w:proofErr w:type="spellEnd"/>
      <w:r w:rsidR="0054097E">
        <w:t>,</w:t>
      </w:r>
      <w:r w:rsidRPr="004145CB">
        <w:t xml:space="preserve"> K. et al</w:t>
      </w:r>
      <w:r w:rsidR="0054097E">
        <w:t>.</w:t>
      </w:r>
      <w:r w:rsidRPr="004145CB">
        <w:t xml:space="preserve"> (2021)</w:t>
      </w:r>
      <w:r w:rsidR="0054097E">
        <w:t>.</w:t>
      </w:r>
      <w:r w:rsidRPr="004145CB">
        <w:t xml:space="preserve"> </w:t>
      </w:r>
      <w:r w:rsidRPr="000428A9">
        <w:t>Biological Methods in Biodiesel Production and Their Environmental Impact</w:t>
      </w:r>
      <w:r w:rsidR="00F6586D">
        <w:t>.</w:t>
      </w:r>
      <w:r w:rsidRPr="004145CB">
        <w:t xml:space="preserve"> </w:t>
      </w:r>
      <w:r w:rsidRPr="00E37F20">
        <w:rPr>
          <w:i/>
          <w:iCs/>
        </w:rPr>
        <w:t>Appl. Sci.</w:t>
      </w:r>
      <w:r w:rsidR="001230D7" w:rsidRPr="001230D7">
        <w:t>,</w:t>
      </w:r>
      <w:r w:rsidRPr="001230D7">
        <w:t xml:space="preserve"> </w:t>
      </w:r>
      <w:r w:rsidRPr="00E37F20">
        <w:rPr>
          <w:i/>
          <w:iCs/>
        </w:rPr>
        <w:t>11</w:t>
      </w:r>
      <w:r w:rsidR="00E37F20">
        <w:t>(22)</w:t>
      </w:r>
      <w:r w:rsidRPr="004145CB">
        <w:t xml:space="preserve">, 10946, </w:t>
      </w:r>
      <w:r w:rsidR="005C088A">
        <w:t xml:space="preserve">DOI: </w:t>
      </w:r>
      <w:r w:rsidRPr="004145CB">
        <w:t>10.3390/app112210946 (accessed on 09 Feb</w:t>
      </w:r>
      <w:r w:rsidR="00A90EDD">
        <w:t>ruary</w:t>
      </w:r>
      <w:r w:rsidRPr="004145CB">
        <w:t xml:space="preserve"> 2022).</w:t>
      </w:r>
    </w:p>
    <w:p w14:paraId="35B13542" w14:textId="4356BA0F" w:rsidR="00690761" w:rsidRPr="004145CB" w:rsidRDefault="00690761" w:rsidP="004145CB">
      <w:pPr>
        <w:pStyle w:val="Rlit"/>
      </w:pPr>
      <w:r w:rsidRPr="004145CB">
        <w:t xml:space="preserve">BP (2021), </w:t>
      </w:r>
      <w:r w:rsidRPr="004145CB">
        <w:rPr>
          <w:i/>
          <w:iCs/>
        </w:rPr>
        <w:t>Statistical Review of World Energy</w:t>
      </w:r>
      <w:r w:rsidRPr="004145CB">
        <w:t>, 70</w:t>
      </w:r>
      <w:r w:rsidRPr="004145CB">
        <w:rPr>
          <w:vertAlign w:val="superscript"/>
        </w:rPr>
        <w:t>th</w:t>
      </w:r>
      <w:r w:rsidRPr="004145CB">
        <w:t xml:space="preserve"> edition, </w:t>
      </w:r>
      <w:hyperlink r:id="rId11" w:history="1">
        <w:r w:rsidRPr="004145CB">
          <w:rPr>
            <w:rStyle w:val="Hipercze"/>
            <w:color w:val="auto"/>
            <w:u w:val="none"/>
          </w:rPr>
          <w:t>https://www.bp.com/content/dam/bp/business-sites/en/global/corporate/pdfs/energy-economics/statistical-review/bp-stats-review-2021-full-report.pdf</w:t>
        </w:r>
      </w:hyperlink>
      <w:r w:rsidRPr="004145CB">
        <w:t xml:space="preserve"> (accessed on 07 Feb</w:t>
      </w:r>
      <w:r w:rsidR="00A90EDD">
        <w:t>ruary</w:t>
      </w:r>
      <w:r w:rsidRPr="004145CB">
        <w:t xml:space="preserve"> 2022).</w:t>
      </w:r>
    </w:p>
    <w:p w14:paraId="2A6FEF8E" w14:textId="59B127AF" w:rsidR="000669E0" w:rsidRPr="004145CB" w:rsidRDefault="000669E0" w:rsidP="004145CB">
      <w:pPr>
        <w:pStyle w:val="Rlit"/>
      </w:pPr>
      <w:r w:rsidRPr="004145CB">
        <w:t>Comer</w:t>
      </w:r>
      <w:r w:rsidR="0054097E">
        <w:t>,</w:t>
      </w:r>
      <w:r w:rsidRPr="004145CB">
        <w:t xml:space="preserve"> B., Osipova</w:t>
      </w:r>
      <w:r w:rsidR="0054097E">
        <w:t>,</w:t>
      </w:r>
      <w:r w:rsidRPr="004145CB">
        <w:t xml:space="preserve"> L. (2021)</w:t>
      </w:r>
      <w:r w:rsidR="0054097E">
        <w:t>.</w:t>
      </w:r>
      <w:r w:rsidRPr="004145CB">
        <w:t xml:space="preserve"> </w:t>
      </w:r>
      <w:r w:rsidRPr="004145CB">
        <w:rPr>
          <w:i/>
          <w:iCs/>
        </w:rPr>
        <w:t>Accounting well-to-wake carbon dioxide equivalent emission in maritime transportation climate policies</w:t>
      </w:r>
      <w:r w:rsidR="001230D7" w:rsidRPr="001230D7">
        <w:t>.</w:t>
      </w:r>
      <w:r w:rsidRPr="004145CB">
        <w:t xml:space="preserve"> The International Council on Clean Transportation, </w:t>
      </w:r>
      <w:hyperlink r:id="rId12" w:history="1">
        <w:r w:rsidRPr="004145CB">
          <w:rPr>
            <w:rStyle w:val="Hipercze"/>
            <w:color w:val="auto"/>
            <w:u w:val="none"/>
          </w:rPr>
          <w:t>https://theicct.org/wp-content/uploads/2021/06/Well-to-wake-co2-mar2021-2.pdf</w:t>
        </w:r>
      </w:hyperlink>
      <w:r w:rsidRPr="004145CB">
        <w:t xml:space="preserve"> (</w:t>
      </w:r>
      <w:proofErr w:type="spellStart"/>
      <w:r w:rsidRPr="004145CB">
        <w:t>accesed</w:t>
      </w:r>
      <w:proofErr w:type="spellEnd"/>
      <w:r w:rsidRPr="004145CB">
        <w:t xml:space="preserve"> on 09 Feb</w:t>
      </w:r>
      <w:r w:rsidR="00A90EDD">
        <w:t>ruary</w:t>
      </w:r>
      <w:r w:rsidRPr="004145CB">
        <w:t xml:space="preserve"> 2022).</w:t>
      </w:r>
    </w:p>
    <w:p w14:paraId="3F3B87A1" w14:textId="5244F60F" w:rsidR="000669E0" w:rsidRPr="004145CB" w:rsidRDefault="000669E0" w:rsidP="005C088A">
      <w:pPr>
        <w:pStyle w:val="Rlit"/>
        <w:jc w:val="left"/>
        <w:rPr>
          <w:snapToGrid w:val="0"/>
        </w:rPr>
      </w:pPr>
      <w:proofErr w:type="spellStart"/>
      <w:r w:rsidRPr="004145CB">
        <w:rPr>
          <w:snapToGrid w:val="0"/>
        </w:rPr>
        <w:t>Corres</w:t>
      </w:r>
      <w:proofErr w:type="spellEnd"/>
      <w:r w:rsidR="0054097E">
        <w:rPr>
          <w:snapToGrid w:val="0"/>
        </w:rPr>
        <w:t>,</w:t>
      </w:r>
      <w:r w:rsidRPr="004145CB">
        <w:rPr>
          <w:snapToGrid w:val="0"/>
        </w:rPr>
        <w:t xml:space="preserve"> A.J. (2017)</w:t>
      </w:r>
      <w:r w:rsidR="0054097E">
        <w:rPr>
          <w:snapToGrid w:val="0"/>
        </w:rPr>
        <w:t>.</w:t>
      </w:r>
      <w:r w:rsidRPr="004145CB">
        <w:rPr>
          <w:snapToGrid w:val="0"/>
        </w:rPr>
        <w:t xml:space="preserve"> </w:t>
      </w:r>
      <w:r w:rsidRPr="004145CB">
        <w:rPr>
          <w:i/>
          <w:iCs/>
          <w:snapToGrid w:val="0"/>
        </w:rPr>
        <w:t>Atmospheric Pollution and the LNG as Ship Fuel</w:t>
      </w:r>
      <w:r w:rsidR="00F6586D" w:rsidRPr="00F6586D">
        <w:rPr>
          <w:snapToGrid w:val="0"/>
        </w:rPr>
        <w:t>.</w:t>
      </w:r>
      <w:r w:rsidRPr="004145CB">
        <w:rPr>
          <w:snapToGrid w:val="0"/>
        </w:rPr>
        <w:t xml:space="preserve"> CEO series, Presentation, </w:t>
      </w:r>
      <w:hyperlink r:id="rId13" w:history="1">
        <w:r w:rsidRPr="004145CB">
          <w:rPr>
            <w:rStyle w:val="Hipercze"/>
            <w:snapToGrid w:val="0"/>
            <w:color w:val="auto"/>
            <w:u w:val="none"/>
          </w:rPr>
          <w:t>https://www.researchgate.net/publication/316351848_Atmospheric_Pollution_and_the_LNG_as_Ship_Fuel</w:t>
        </w:r>
      </w:hyperlink>
      <w:r w:rsidRPr="004145CB">
        <w:rPr>
          <w:snapToGrid w:val="0"/>
        </w:rPr>
        <w:t xml:space="preserve"> </w:t>
      </w:r>
      <w:r w:rsidRPr="004145CB">
        <w:t>(accessed on 07 Feb</w:t>
      </w:r>
      <w:r w:rsidR="00A90EDD">
        <w:t>ruary</w:t>
      </w:r>
      <w:r w:rsidRPr="004145CB">
        <w:t xml:space="preserve"> 2022).</w:t>
      </w:r>
    </w:p>
    <w:p w14:paraId="4A6F26DD" w14:textId="501935C1" w:rsidR="0078264E" w:rsidRPr="004145CB" w:rsidRDefault="0078264E" w:rsidP="004145CB">
      <w:pPr>
        <w:pStyle w:val="Rlit"/>
      </w:pPr>
      <w:r w:rsidRPr="004145CB">
        <w:t>Directive (2015)</w:t>
      </w:r>
      <w:r w:rsidR="0054097E">
        <w:t>.</w:t>
      </w:r>
      <w:r w:rsidRPr="004145CB">
        <w:t xml:space="preserve"> 2015/757 of the European Parliament and of the Council of 29 April 2015, as amended by Delegated Regulation 2016/2071 </w:t>
      </w:r>
      <w:r w:rsidRPr="004145CB">
        <w:rPr>
          <w:i/>
          <w:iCs/>
        </w:rPr>
        <w:t>on monitoring, reporting and verification of carbon dioxide emissions from maritime transport</w:t>
      </w:r>
      <w:r w:rsidRPr="004145CB">
        <w:t>, and amended Directive 2009/16/EC.</w:t>
      </w:r>
    </w:p>
    <w:p w14:paraId="6BE154A2" w14:textId="37C9AD57" w:rsidR="00C90AC7" w:rsidRPr="004145CB" w:rsidRDefault="00C90AC7" w:rsidP="004145CB">
      <w:pPr>
        <w:pStyle w:val="Rlit"/>
      </w:pPr>
      <w:r w:rsidRPr="004145CB">
        <w:t>Directive (2018)</w:t>
      </w:r>
      <w:r w:rsidR="0054097E">
        <w:t>.</w:t>
      </w:r>
      <w:r w:rsidRPr="004145CB">
        <w:t xml:space="preserve"> 2018/410 of the European Parliament and of the Council of 14 March 2018 amending Directive 2003/87/EC </w:t>
      </w:r>
      <w:r w:rsidRPr="004145CB">
        <w:rPr>
          <w:i/>
          <w:iCs/>
        </w:rPr>
        <w:t>To enhance cost-effective emission reductions and low-carbon investments</w:t>
      </w:r>
      <w:r w:rsidRPr="004145CB">
        <w:t>, and Decision (EU) 2015/1814.</w:t>
      </w:r>
    </w:p>
    <w:p w14:paraId="618F7D88" w14:textId="4D92A9DC" w:rsidR="000669E0" w:rsidRPr="004145CB" w:rsidRDefault="000669E0" w:rsidP="004145CB">
      <w:pPr>
        <w:pStyle w:val="Rlit"/>
      </w:pPr>
      <w:r w:rsidRPr="004145CB">
        <w:t xml:space="preserve">DNV GL (2018), </w:t>
      </w:r>
      <w:r w:rsidRPr="004145CB">
        <w:rPr>
          <w:i/>
          <w:iCs/>
        </w:rPr>
        <w:t>Bio diesel emissions depend on the production method</w:t>
      </w:r>
      <w:r w:rsidR="00213EF2" w:rsidRPr="004145CB">
        <w:t>.</w:t>
      </w:r>
      <w:r w:rsidRPr="004145CB">
        <w:t xml:space="preserve"> </w:t>
      </w:r>
    </w:p>
    <w:p w14:paraId="2532C5BC" w14:textId="62B2EDCF" w:rsidR="000669E0" w:rsidRPr="004145CB" w:rsidRDefault="000669E0" w:rsidP="004145CB">
      <w:pPr>
        <w:pStyle w:val="Rlit"/>
      </w:pPr>
      <w:r w:rsidRPr="004145CB">
        <w:t xml:space="preserve">ECOFYS (2019), </w:t>
      </w:r>
      <w:r w:rsidRPr="004145CB">
        <w:rPr>
          <w:i/>
          <w:iCs/>
        </w:rPr>
        <w:t xml:space="preserve">2030 Transport </w:t>
      </w:r>
      <w:proofErr w:type="spellStart"/>
      <w:r w:rsidRPr="004145CB">
        <w:rPr>
          <w:i/>
          <w:iCs/>
        </w:rPr>
        <w:t>Decarbonisation</w:t>
      </w:r>
      <w:proofErr w:type="spellEnd"/>
      <w:r w:rsidRPr="004145CB">
        <w:rPr>
          <w:i/>
          <w:iCs/>
        </w:rPr>
        <w:t xml:space="preserve"> Options</w:t>
      </w:r>
      <w:r w:rsidRPr="004145CB">
        <w:t xml:space="preserve">, </w:t>
      </w:r>
      <w:hyperlink r:id="rId14" w:history="1">
        <w:r w:rsidRPr="004145CB">
          <w:rPr>
            <w:rStyle w:val="Hipercze"/>
            <w:color w:val="auto"/>
            <w:u w:val="none"/>
          </w:rPr>
          <w:t>https://platformduurzamebiobrandstoffen.nl/wp-content/uploads/2020/04/2019_Ecofys_Navigant_2030-Transport-decarbonisation-options.pdf</w:t>
        </w:r>
      </w:hyperlink>
      <w:r w:rsidRPr="004145CB">
        <w:t xml:space="preserve"> (accessed on 09 Feb</w:t>
      </w:r>
      <w:r w:rsidR="00A90EDD">
        <w:t>ruary</w:t>
      </w:r>
      <w:r w:rsidRPr="004145CB">
        <w:t xml:space="preserve"> 2022).</w:t>
      </w:r>
    </w:p>
    <w:p w14:paraId="39F75592" w14:textId="43D3D5DE" w:rsidR="000669E0" w:rsidRPr="004145CB" w:rsidRDefault="000669E0" w:rsidP="004145CB">
      <w:pPr>
        <w:pStyle w:val="Rlit"/>
      </w:pPr>
      <w:proofErr w:type="spellStart"/>
      <w:r w:rsidRPr="004145CB">
        <w:t>Hamelinck</w:t>
      </w:r>
      <w:proofErr w:type="spellEnd"/>
      <w:r w:rsidR="0054097E">
        <w:t>,</w:t>
      </w:r>
      <w:r w:rsidRPr="004145CB">
        <w:t xml:space="preserve"> C. et al</w:t>
      </w:r>
      <w:r w:rsidR="0054097E">
        <w:t>.</w:t>
      </w:r>
      <w:r w:rsidRPr="004145CB">
        <w:t xml:space="preserve"> (2019)</w:t>
      </w:r>
      <w:r w:rsidR="0054097E">
        <w:t>.</w:t>
      </w:r>
      <w:r w:rsidRPr="004145CB">
        <w:t xml:space="preserve"> </w:t>
      </w:r>
      <w:r w:rsidRPr="004145CB">
        <w:rPr>
          <w:i/>
          <w:iCs/>
        </w:rPr>
        <w:t xml:space="preserve">Possibilities of Transport </w:t>
      </w:r>
      <w:proofErr w:type="spellStart"/>
      <w:r w:rsidRPr="004145CB">
        <w:rPr>
          <w:i/>
          <w:iCs/>
        </w:rPr>
        <w:t>Decarbonising</w:t>
      </w:r>
      <w:proofErr w:type="spellEnd"/>
      <w:r w:rsidRPr="004145CB">
        <w:rPr>
          <w:i/>
          <w:iCs/>
        </w:rPr>
        <w:t xml:space="preserve"> by 2030</w:t>
      </w:r>
      <w:r w:rsidR="001230D7" w:rsidRPr="001230D7">
        <w:t>.</w:t>
      </w:r>
      <w:r w:rsidRPr="004145CB">
        <w:t xml:space="preserve"> ECOFYS: Utrecht, The Netherlands.</w:t>
      </w:r>
    </w:p>
    <w:p w14:paraId="4FAAB1E9" w14:textId="2578342B" w:rsidR="000669E0" w:rsidRPr="004145CB" w:rsidRDefault="000669E0" w:rsidP="004145CB">
      <w:pPr>
        <w:pStyle w:val="Rlit"/>
        <w:rPr>
          <w:snapToGrid w:val="0"/>
        </w:rPr>
      </w:pPr>
      <w:proofErr w:type="spellStart"/>
      <w:r w:rsidRPr="004145CB">
        <w:rPr>
          <w:snapToGrid w:val="0"/>
        </w:rPr>
        <w:t>Herdzik</w:t>
      </w:r>
      <w:proofErr w:type="spellEnd"/>
      <w:r w:rsidR="0054097E">
        <w:rPr>
          <w:snapToGrid w:val="0"/>
        </w:rPr>
        <w:t>,</w:t>
      </w:r>
      <w:r w:rsidRPr="004145CB">
        <w:rPr>
          <w:snapToGrid w:val="0"/>
        </w:rPr>
        <w:t xml:space="preserve"> J. (2012)</w:t>
      </w:r>
      <w:r w:rsidR="0054097E">
        <w:rPr>
          <w:snapToGrid w:val="0"/>
        </w:rPr>
        <w:t>.</w:t>
      </w:r>
      <w:r w:rsidRPr="004145CB">
        <w:rPr>
          <w:snapToGrid w:val="0"/>
        </w:rPr>
        <w:t xml:space="preserve"> </w:t>
      </w:r>
      <w:r w:rsidRPr="0054097E">
        <w:t>Aspects of Using LNG as a Marine Fuel</w:t>
      </w:r>
      <w:r w:rsidR="001230D7">
        <w:t>.</w:t>
      </w:r>
      <w:r w:rsidRPr="004145CB">
        <w:t xml:space="preserve"> </w:t>
      </w:r>
      <w:r w:rsidRPr="0054097E">
        <w:rPr>
          <w:i/>
          <w:iCs/>
        </w:rPr>
        <w:t xml:space="preserve">Journal of </w:t>
      </w:r>
      <w:r w:rsidRPr="0054097E">
        <w:rPr>
          <w:i/>
          <w:iCs/>
          <w:snapToGrid w:val="0"/>
        </w:rPr>
        <w:t>KONES</w:t>
      </w:r>
      <w:r w:rsidRPr="001230D7">
        <w:rPr>
          <w:snapToGrid w:val="0"/>
        </w:rPr>
        <w:t xml:space="preserve">, </w:t>
      </w:r>
      <w:r w:rsidRPr="0054097E">
        <w:rPr>
          <w:i/>
          <w:iCs/>
          <w:snapToGrid w:val="0"/>
        </w:rPr>
        <w:t>19</w:t>
      </w:r>
      <w:r w:rsidR="0054097E">
        <w:rPr>
          <w:snapToGrid w:val="0"/>
        </w:rPr>
        <w:t>(</w:t>
      </w:r>
      <w:r w:rsidRPr="004145CB">
        <w:rPr>
          <w:snapToGrid w:val="0"/>
        </w:rPr>
        <w:t>2</w:t>
      </w:r>
      <w:r w:rsidR="0054097E">
        <w:rPr>
          <w:snapToGrid w:val="0"/>
        </w:rPr>
        <w:t>)</w:t>
      </w:r>
      <w:r w:rsidRPr="004145CB">
        <w:rPr>
          <w:snapToGrid w:val="0"/>
        </w:rPr>
        <w:t>. 201-210.</w:t>
      </w:r>
    </w:p>
    <w:p w14:paraId="6278269D" w14:textId="5A77EAB9" w:rsidR="000669E0" w:rsidRPr="004145CB" w:rsidRDefault="000669E0" w:rsidP="004145CB">
      <w:pPr>
        <w:pStyle w:val="Rlit"/>
        <w:rPr>
          <w:snapToGrid w:val="0"/>
        </w:rPr>
      </w:pPr>
      <w:proofErr w:type="spellStart"/>
      <w:r w:rsidRPr="004145CB">
        <w:t>Herdzik</w:t>
      </w:r>
      <w:proofErr w:type="spellEnd"/>
      <w:r w:rsidR="0054097E">
        <w:t>,</w:t>
      </w:r>
      <w:r w:rsidRPr="004145CB">
        <w:t xml:space="preserve"> J. (2013)</w:t>
      </w:r>
      <w:r w:rsidR="0054097E">
        <w:t>.</w:t>
      </w:r>
      <w:r w:rsidRPr="004145CB">
        <w:t xml:space="preserve"> </w:t>
      </w:r>
      <w:r w:rsidRPr="0054097E">
        <w:t>Consequences of Using LNG as a Marine Fuel</w:t>
      </w:r>
      <w:r w:rsidR="001230D7">
        <w:t>.</w:t>
      </w:r>
      <w:r w:rsidRPr="004145CB">
        <w:t xml:space="preserve"> </w:t>
      </w:r>
      <w:r w:rsidRPr="0054097E">
        <w:rPr>
          <w:bCs/>
          <w:i/>
          <w:iCs/>
        </w:rPr>
        <w:t xml:space="preserve">Journal of </w:t>
      </w:r>
      <w:r w:rsidRPr="0054097E">
        <w:rPr>
          <w:i/>
          <w:iCs/>
          <w:snapToGrid w:val="0"/>
        </w:rPr>
        <w:t>KONES</w:t>
      </w:r>
      <w:r w:rsidRPr="001230D7">
        <w:rPr>
          <w:snapToGrid w:val="0"/>
        </w:rPr>
        <w:t xml:space="preserve">, </w:t>
      </w:r>
      <w:r w:rsidRPr="0054097E">
        <w:rPr>
          <w:i/>
          <w:iCs/>
          <w:snapToGrid w:val="0"/>
        </w:rPr>
        <w:t>20</w:t>
      </w:r>
      <w:r w:rsidR="0054097E">
        <w:rPr>
          <w:snapToGrid w:val="0"/>
        </w:rPr>
        <w:t>(</w:t>
      </w:r>
      <w:r w:rsidRPr="004145CB">
        <w:rPr>
          <w:snapToGrid w:val="0"/>
        </w:rPr>
        <w:t>2</w:t>
      </w:r>
      <w:r w:rsidR="0054097E">
        <w:rPr>
          <w:snapToGrid w:val="0"/>
        </w:rPr>
        <w:t>),</w:t>
      </w:r>
      <w:r w:rsidRPr="004145CB">
        <w:rPr>
          <w:snapToGrid w:val="0"/>
        </w:rPr>
        <w:t xml:space="preserve"> 159-166.</w:t>
      </w:r>
    </w:p>
    <w:p w14:paraId="366E2F40" w14:textId="47B678F3" w:rsidR="000669E0" w:rsidRPr="004145CB" w:rsidRDefault="000669E0" w:rsidP="004145CB">
      <w:pPr>
        <w:pStyle w:val="Rlit"/>
      </w:pPr>
      <w:proofErr w:type="spellStart"/>
      <w:r w:rsidRPr="004145CB">
        <w:rPr>
          <w:snapToGrid w:val="0"/>
        </w:rPr>
        <w:t>Herdzik</w:t>
      </w:r>
      <w:proofErr w:type="spellEnd"/>
      <w:r w:rsidR="0054097E">
        <w:rPr>
          <w:snapToGrid w:val="0"/>
        </w:rPr>
        <w:t>,</w:t>
      </w:r>
      <w:r w:rsidRPr="004145CB">
        <w:rPr>
          <w:snapToGrid w:val="0"/>
        </w:rPr>
        <w:t xml:space="preserve"> J. (2018a)</w:t>
      </w:r>
      <w:r w:rsidR="0054097E">
        <w:rPr>
          <w:snapToGrid w:val="0"/>
        </w:rPr>
        <w:t>.</w:t>
      </w:r>
      <w:r w:rsidRPr="0054097E">
        <w:rPr>
          <w:snapToGrid w:val="0"/>
        </w:rPr>
        <w:t xml:space="preserve"> Methane Slip during Cargo Operations on LNG Carriers and </w:t>
      </w:r>
      <w:r w:rsidRPr="0054097E">
        <w:t>LNG Fueled Vessels</w:t>
      </w:r>
      <w:r w:rsidR="001230D7">
        <w:t>.</w:t>
      </w:r>
      <w:r w:rsidRPr="0054097E">
        <w:t xml:space="preserve"> </w:t>
      </w:r>
      <w:r w:rsidRPr="0054097E">
        <w:rPr>
          <w:i/>
          <w:iCs/>
        </w:rPr>
        <w:t>New Trends in Production Engineering</w:t>
      </w:r>
      <w:r w:rsidRPr="001230D7">
        <w:t xml:space="preserve">, </w:t>
      </w:r>
      <w:r w:rsidRPr="0054097E">
        <w:rPr>
          <w:i/>
          <w:iCs/>
        </w:rPr>
        <w:t>1</w:t>
      </w:r>
      <w:r w:rsidR="0054097E">
        <w:t>(</w:t>
      </w:r>
      <w:r w:rsidRPr="004145CB">
        <w:t>1</w:t>
      </w:r>
      <w:r w:rsidR="0054097E">
        <w:t>)</w:t>
      </w:r>
      <w:r w:rsidRPr="004145CB">
        <w:t>, 293-300.</w:t>
      </w:r>
    </w:p>
    <w:p w14:paraId="3C177867" w14:textId="02E65C85" w:rsidR="000669E0" w:rsidRPr="004145CB" w:rsidRDefault="000669E0" w:rsidP="004145CB">
      <w:pPr>
        <w:pStyle w:val="Rlit"/>
      </w:pPr>
      <w:proofErr w:type="spellStart"/>
      <w:r w:rsidRPr="004145CB">
        <w:t>Herdzik</w:t>
      </w:r>
      <w:proofErr w:type="spellEnd"/>
      <w:r w:rsidR="0054097E">
        <w:t>,</w:t>
      </w:r>
      <w:r w:rsidRPr="004145CB">
        <w:t xml:space="preserve"> J. (2018b)</w:t>
      </w:r>
      <w:r w:rsidR="0054097E">
        <w:t>.</w:t>
      </w:r>
      <w:r w:rsidRPr="004145CB">
        <w:t xml:space="preserve"> </w:t>
      </w:r>
      <w:r w:rsidRPr="0054097E">
        <w:rPr>
          <w:snapToGrid w:val="0"/>
        </w:rPr>
        <w:t>The impact of methane slip from vessels on environment</w:t>
      </w:r>
      <w:r w:rsidR="001230D7">
        <w:rPr>
          <w:snapToGrid w:val="0"/>
        </w:rPr>
        <w:t>.</w:t>
      </w:r>
      <w:r w:rsidRPr="004145CB">
        <w:t xml:space="preserve"> </w:t>
      </w:r>
      <w:r w:rsidRPr="0054097E">
        <w:rPr>
          <w:i/>
          <w:iCs/>
        </w:rPr>
        <w:t xml:space="preserve">Journal of </w:t>
      </w:r>
      <w:proofErr w:type="spellStart"/>
      <w:r w:rsidRPr="0054097E">
        <w:rPr>
          <w:i/>
          <w:iCs/>
        </w:rPr>
        <w:t>Kones</w:t>
      </w:r>
      <w:proofErr w:type="spellEnd"/>
      <w:r w:rsidRPr="001230D7">
        <w:t xml:space="preserve">, </w:t>
      </w:r>
      <w:r w:rsidRPr="0054097E">
        <w:rPr>
          <w:i/>
          <w:iCs/>
          <w:snapToGrid w:val="0"/>
        </w:rPr>
        <w:t>25</w:t>
      </w:r>
      <w:r w:rsidR="0054097E">
        <w:rPr>
          <w:snapToGrid w:val="0"/>
        </w:rPr>
        <w:t>(</w:t>
      </w:r>
      <w:r w:rsidRPr="004145CB">
        <w:rPr>
          <w:snapToGrid w:val="0"/>
        </w:rPr>
        <w:t>2</w:t>
      </w:r>
      <w:r w:rsidR="0054097E">
        <w:rPr>
          <w:snapToGrid w:val="0"/>
        </w:rPr>
        <w:t>)</w:t>
      </w:r>
      <w:r w:rsidRPr="004145CB">
        <w:rPr>
          <w:snapToGrid w:val="0"/>
        </w:rPr>
        <w:t>. 149-155.</w:t>
      </w:r>
    </w:p>
    <w:p w14:paraId="6B72CC33" w14:textId="03BF8717" w:rsidR="000669E0" w:rsidRPr="004145CB" w:rsidRDefault="000669E0" w:rsidP="004145CB">
      <w:pPr>
        <w:pStyle w:val="Rlit"/>
      </w:pPr>
      <w:proofErr w:type="spellStart"/>
      <w:r w:rsidRPr="004145CB">
        <w:t>Herdzik</w:t>
      </w:r>
      <w:proofErr w:type="spellEnd"/>
      <w:r w:rsidR="0054097E">
        <w:t>,</w:t>
      </w:r>
      <w:r w:rsidRPr="004145CB">
        <w:t xml:space="preserve"> J. (2021)</w:t>
      </w:r>
      <w:r w:rsidR="0054097E">
        <w:t>.</w:t>
      </w:r>
      <w:r w:rsidRPr="004145CB">
        <w:t xml:space="preserve"> </w:t>
      </w:r>
      <w:proofErr w:type="spellStart"/>
      <w:r w:rsidRPr="00F6586D">
        <w:t>Decarboni</w:t>
      </w:r>
      <w:r w:rsidR="00A90EDD">
        <w:t>s</w:t>
      </w:r>
      <w:r w:rsidRPr="00F6586D">
        <w:t>ation</w:t>
      </w:r>
      <w:proofErr w:type="spellEnd"/>
      <w:r w:rsidRPr="00F6586D">
        <w:t xml:space="preserve"> of Marine Fuels – the Future of Shipping</w:t>
      </w:r>
      <w:r w:rsidR="00F6586D">
        <w:t>.</w:t>
      </w:r>
      <w:r w:rsidRPr="004145CB">
        <w:t xml:space="preserve"> </w:t>
      </w:r>
      <w:r w:rsidRPr="00F6586D">
        <w:rPr>
          <w:i/>
          <w:iCs/>
        </w:rPr>
        <w:t>Energies</w:t>
      </w:r>
      <w:r w:rsidRPr="004145CB">
        <w:t xml:space="preserve">, </w:t>
      </w:r>
      <w:r w:rsidRPr="00F6586D">
        <w:rPr>
          <w:i/>
          <w:iCs/>
        </w:rPr>
        <w:t>14</w:t>
      </w:r>
      <w:r w:rsidRPr="004145CB">
        <w:t xml:space="preserve">, 4311, </w:t>
      </w:r>
      <w:hyperlink r:id="rId15" w:history="1">
        <w:r w:rsidR="005C088A">
          <w:rPr>
            <w:rStyle w:val="Hipercze"/>
            <w:color w:val="auto"/>
            <w:u w:val="none"/>
          </w:rPr>
          <w:t xml:space="preserve">DOI: </w:t>
        </w:r>
        <w:r w:rsidRPr="004145CB">
          <w:rPr>
            <w:rStyle w:val="Hipercze"/>
            <w:color w:val="auto"/>
            <w:u w:val="none"/>
          </w:rPr>
          <w:t>10.3390/en14144311</w:t>
        </w:r>
      </w:hyperlink>
      <w:r w:rsidRPr="004145CB">
        <w:t xml:space="preserve"> (accessed on 07 Feb</w:t>
      </w:r>
      <w:r w:rsidR="00A90EDD">
        <w:t>ruary</w:t>
      </w:r>
      <w:r w:rsidRPr="004145CB">
        <w:t xml:space="preserve"> 2022).</w:t>
      </w:r>
    </w:p>
    <w:p w14:paraId="5248E87E" w14:textId="5FFD4620" w:rsidR="000669E0" w:rsidRPr="004145CB" w:rsidRDefault="000669E0" w:rsidP="004145CB">
      <w:pPr>
        <w:pStyle w:val="Rlit"/>
      </w:pPr>
      <w:r w:rsidRPr="004145CB">
        <w:t xml:space="preserve">IGC Code (2016), </w:t>
      </w:r>
      <w:r w:rsidRPr="004145CB">
        <w:rPr>
          <w:i/>
          <w:iCs/>
        </w:rPr>
        <w:t>International Code for the Construction and Equipment of Ships Carrying Liquefied Gases in Bulk</w:t>
      </w:r>
      <w:r w:rsidR="00F6586D">
        <w:t>.</w:t>
      </w:r>
      <w:r w:rsidRPr="004145CB">
        <w:t xml:space="preserve"> IMO publication.</w:t>
      </w:r>
    </w:p>
    <w:p w14:paraId="268A7B1B" w14:textId="77777777" w:rsidR="000669E0" w:rsidRPr="004145CB" w:rsidRDefault="000669E0" w:rsidP="004145CB">
      <w:pPr>
        <w:pStyle w:val="Rlit"/>
      </w:pPr>
      <w:r w:rsidRPr="004145CB">
        <w:t xml:space="preserve">IMO (2018) MEPC 72/INF.5, </w:t>
      </w:r>
      <w:r w:rsidRPr="004145CB">
        <w:rPr>
          <w:i/>
          <w:iCs/>
        </w:rPr>
        <w:t>Reduction of GHG from ships. Understanding CO</w:t>
      </w:r>
      <w:r w:rsidRPr="0023654C">
        <w:rPr>
          <w:i/>
          <w:iCs/>
          <w:vertAlign w:val="subscript"/>
        </w:rPr>
        <w:t>2</w:t>
      </w:r>
      <w:r w:rsidRPr="004145CB">
        <w:rPr>
          <w:i/>
          <w:iCs/>
        </w:rPr>
        <w:t xml:space="preserve"> emissions and challenges in assessing the operational efficiency for ships</w:t>
      </w:r>
      <w:r w:rsidRPr="004145CB">
        <w:t xml:space="preserve">. </w:t>
      </w:r>
    </w:p>
    <w:p w14:paraId="29A17781" w14:textId="64390C58" w:rsidR="000669E0" w:rsidRPr="004145CB" w:rsidRDefault="000669E0" w:rsidP="0023654C">
      <w:pPr>
        <w:pStyle w:val="Rlit"/>
        <w:jc w:val="left"/>
      </w:pPr>
      <w:r w:rsidRPr="005C088A">
        <w:t xml:space="preserve">IMO (2019), </w:t>
      </w:r>
      <w:hyperlink r:id="rId16" w:history="1">
        <w:r w:rsidR="005C088A" w:rsidRPr="005C088A">
          <w:rPr>
            <w:rStyle w:val="Hipercze"/>
            <w:color w:val="auto"/>
            <w:u w:val="none"/>
          </w:rPr>
          <w:t>http://www/imo/org/en/OurWork/Environment/PollutionPrevention/AirPollution/Pages/GHG-Emissions.aspx</w:t>
        </w:r>
      </w:hyperlink>
      <w:r w:rsidRPr="005C088A">
        <w:t xml:space="preserve"> (accessed </w:t>
      </w:r>
      <w:r w:rsidRPr="004145CB">
        <w:t>on 22 Feb</w:t>
      </w:r>
      <w:r w:rsidR="00A90EDD">
        <w:t>ruary</w:t>
      </w:r>
      <w:r w:rsidRPr="004145CB">
        <w:t xml:space="preserve"> 2022).</w:t>
      </w:r>
    </w:p>
    <w:p w14:paraId="32724849" w14:textId="4EE84B5F" w:rsidR="000669E0" w:rsidRPr="004145CB" w:rsidRDefault="000669E0" w:rsidP="004145CB">
      <w:pPr>
        <w:pStyle w:val="Rlit"/>
      </w:pPr>
      <w:r w:rsidRPr="004145CB">
        <w:t xml:space="preserve">IMO Action (2018), </w:t>
      </w:r>
      <w:r w:rsidRPr="004145CB">
        <w:rPr>
          <w:i/>
          <w:iCs/>
        </w:rPr>
        <w:t>To Reduce Greenhouse Gas Emission From International Shipping</w:t>
      </w:r>
      <w:r w:rsidR="00F6586D">
        <w:t>.</w:t>
      </w:r>
      <w:r w:rsidRPr="004145CB">
        <w:t xml:space="preserve"> IMO publication 2018.</w:t>
      </w:r>
    </w:p>
    <w:p w14:paraId="19C1B027" w14:textId="6B86BC66" w:rsidR="000669E0" w:rsidRPr="007C2AD0" w:rsidRDefault="000669E0" w:rsidP="004145CB">
      <w:pPr>
        <w:pStyle w:val="Rlit"/>
      </w:pPr>
      <w:proofErr w:type="spellStart"/>
      <w:r w:rsidRPr="004145CB">
        <w:lastRenderedPageBreak/>
        <w:t>Kuczyński</w:t>
      </w:r>
      <w:proofErr w:type="spellEnd"/>
      <w:r w:rsidR="007C2AD0">
        <w:t>,</w:t>
      </w:r>
      <w:r w:rsidRPr="004145CB">
        <w:t xml:space="preserve"> S. et al</w:t>
      </w:r>
      <w:r w:rsidR="007C2AD0">
        <w:t>.</w:t>
      </w:r>
      <w:r w:rsidRPr="004145CB">
        <w:t xml:space="preserve"> (2020)</w:t>
      </w:r>
      <w:r w:rsidR="007C2AD0">
        <w:t>.</w:t>
      </w:r>
      <w:r w:rsidRPr="007C2AD0">
        <w:t xml:space="preserve"> Impact of Natural Gas Composition Changes on Methane Number as a Fuel Quality Requirement, </w:t>
      </w:r>
      <w:r w:rsidRPr="007C2AD0">
        <w:rPr>
          <w:i/>
          <w:iCs/>
        </w:rPr>
        <w:t>Energies</w:t>
      </w:r>
      <w:r w:rsidR="007C2AD0" w:rsidRPr="00F6586D">
        <w:t>,</w:t>
      </w:r>
      <w:r w:rsidRPr="00F6586D">
        <w:t xml:space="preserve"> </w:t>
      </w:r>
      <w:r w:rsidRPr="007C2AD0">
        <w:rPr>
          <w:i/>
          <w:iCs/>
        </w:rPr>
        <w:t>13</w:t>
      </w:r>
      <w:r w:rsidRPr="007C2AD0">
        <w:t xml:space="preserve">, 5060, </w:t>
      </w:r>
      <w:hyperlink r:id="rId17" w:history="1">
        <w:r w:rsidR="005C088A">
          <w:rPr>
            <w:rStyle w:val="Hipercze"/>
            <w:color w:val="auto"/>
            <w:u w:val="none"/>
          </w:rPr>
          <w:t xml:space="preserve">DOI: </w:t>
        </w:r>
        <w:r w:rsidRPr="007C2AD0">
          <w:rPr>
            <w:rStyle w:val="Hipercze"/>
            <w:color w:val="auto"/>
            <w:u w:val="none"/>
          </w:rPr>
          <w:t>10.3390/</w:t>
        </w:r>
        <w:proofErr w:type="spellStart"/>
        <w:r w:rsidRPr="007C2AD0">
          <w:rPr>
            <w:rStyle w:val="Hipercze"/>
            <w:color w:val="auto"/>
            <w:u w:val="none"/>
          </w:rPr>
          <w:t>en</w:t>
        </w:r>
        <w:proofErr w:type="spellEnd"/>
        <w:r w:rsidR="005C088A">
          <w:rPr>
            <w:rStyle w:val="Hipercze"/>
            <w:color w:val="auto"/>
            <w:u w:val="none"/>
          </w:rPr>
          <w:t xml:space="preserve"> </w:t>
        </w:r>
        <w:r w:rsidRPr="007C2AD0">
          <w:rPr>
            <w:rStyle w:val="Hipercze"/>
            <w:color w:val="auto"/>
            <w:u w:val="none"/>
          </w:rPr>
          <w:t>13195060</w:t>
        </w:r>
      </w:hyperlink>
      <w:r w:rsidRPr="007C2AD0">
        <w:t xml:space="preserve"> (accessed on 07 Feb</w:t>
      </w:r>
      <w:r w:rsidR="00A90EDD">
        <w:t>ruary</w:t>
      </w:r>
      <w:r w:rsidRPr="007C2AD0">
        <w:t xml:space="preserve"> 2022).</w:t>
      </w:r>
    </w:p>
    <w:p w14:paraId="010BDAF9" w14:textId="0E7BE26E" w:rsidR="000669E0" w:rsidRPr="004145CB" w:rsidRDefault="000669E0" w:rsidP="004145CB">
      <w:pPr>
        <w:pStyle w:val="Rlit"/>
      </w:pPr>
      <w:r w:rsidRPr="004145CB">
        <w:t xml:space="preserve">Liquefied Natural Gas, Safety and Operational Matters, </w:t>
      </w:r>
      <w:hyperlink r:id="rId18" w:history="1">
        <w:r w:rsidRPr="004145CB">
          <w:rPr>
            <w:rStyle w:val="Hipercze"/>
            <w:color w:val="auto"/>
            <w:u w:val="none"/>
          </w:rPr>
          <w:t>http://www.liquefiedgascarrier.com/LNG.html</w:t>
        </w:r>
      </w:hyperlink>
      <w:r w:rsidRPr="004145CB">
        <w:t xml:space="preserve"> (accessed on 07 Feb</w:t>
      </w:r>
      <w:r w:rsidR="00A90EDD">
        <w:t>ruary</w:t>
      </w:r>
      <w:r w:rsidRPr="004145CB">
        <w:t xml:space="preserve"> 2022).</w:t>
      </w:r>
    </w:p>
    <w:p w14:paraId="1A222ED5" w14:textId="02B6AD8D" w:rsidR="000C0B50" w:rsidRPr="004145CB" w:rsidRDefault="000C0B50" w:rsidP="004145CB">
      <w:pPr>
        <w:pStyle w:val="Rlit"/>
      </w:pPr>
      <w:r w:rsidRPr="004145CB">
        <w:t>MAN (2013)</w:t>
      </w:r>
      <w:r w:rsidR="007C2AD0">
        <w:t>.</w:t>
      </w:r>
      <w:r w:rsidRPr="004145CB">
        <w:t xml:space="preserve"> </w:t>
      </w:r>
      <w:r w:rsidRPr="004145CB">
        <w:rPr>
          <w:i/>
          <w:iCs/>
        </w:rPr>
        <w:t>Propulsion Trends in LNG Carriers (Two Stroke Engines)</w:t>
      </w:r>
      <w:r w:rsidRPr="004145CB">
        <w:t>, MAN Diesel &amp; Turbo, Copenhagen 2013.</w:t>
      </w:r>
    </w:p>
    <w:p w14:paraId="62AC2ACD" w14:textId="0B4C9FE3" w:rsidR="000669E0" w:rsidRPr="007C2AD0" w:rsidRDefault="000669E0" w:rsidP="004145CB">
      <w:pPr>
        <w:pStyle w:val="Rlit"/>
        <w:rPr>
          <w:snapToGrid w:val="0"/>
        </w:rPr>
      </w:pPr>
      <w:proofErr w:type="spellStart"/>
      <w:r w:rsidRPr="004145CB">
        <w:rPr>
          <w:snapToGrid w:val="0"/>
        </w:rPr>
        <w:t>Ocktaeck</w:t>
      </w:r>
      <w:proofErr w:type="spellEnd"/>
      <w:r w:rsidR="007C2AD0">
        <w:rPr>
          <w:snapToGrid w:val="0"/>
        </w:rPr>
        <w:t>,</w:t>
      </w:r>
      <w:r w:rsidRPr="004145CB">
        <w:rPr>
          <w:snapToGrid w:val="0"/>
        </w:rPr>
        <w:t xml:space="preserve"> L., </w:t>
      </w:r>
      <w:proofErr w:type="spellStart"/>
      <w:r w:rsidRPr="004145CB">
        <w:rPr>
          <w:snapToGrid w:val="0"/>
        </w:rPr>
        <w:t>Sangijn</w:t>
      </w:r>
      <w:proofErr w:type="spellEnd"/>
      <w:r w:rsidR="007C2AD0">
        <w:rPr>
          <w:snapToGrid w:val="0"/>
        </w:rPr>
        <w:t>,</w:t>
      </w:r>
      <w:r w:rsidRPr="004145CB">
        <w:rPr>
          <w:snapToGrid w:val="0"/>
        </w:rPr>
        <w:t xml:space="preserve"> Y. (2021)</w:t>
      </w:r>
      <w:r w:rsidR="007C2AD0">
        <w:rPr>
          <w:snapToGrid w:val="0"/>
        </w:rPr>
        <w:t>.</w:t>
      </w:r>
      <w:r w:rsidRPr="007C2AD0">
        <w:rPr>
          <w:snapToGrid w:val="0"/>
        </w:rPr>
        <w:t xml:space="preserve"> Comparative Life Cycle Assessment of Liquefied Natural Gas and Marine Fuel from Well to Hull, </w:t>
      </w:r>
      <w:r w:rsidRPr="007C2AD0">
        <w:rPr>
          <w:i/>
          <w:iCs/>
          <w:snapToGrid w:val="0"/>
        </w:rPr>
        <w:t>Transactions of the Korean hydrogen and new energy society</w:t>
      </w:r>
      <w:r w:rsidRPr="00F6586D">
        <w:rPr>
          <w:snapToGrid w:val="0"/>
        </w:rPr>
        <w:t xml:space="preserve">, </w:t>
      </w:r>
      <w:r w:rsidRPr="007C2AD0">
        <w:rPr>
          <w:i/>
          <w:iCs/>
          <w:snapToGrid w:val="0"/>
        </w:rPr>
        <w:t>32</w:t>
      </w:r>
      <w:r w:rsidRPr="007C2AD0">
        <w:rPr>
          <w:snapToGrid w:val="0"/>
        </w:rPr>
        <w:t>(2)</w:t>
      </w:r>
      <w:r w:rsidR="007C2AD0">
        <w:rPr>
          <w:snapToGrid w:val="0"/>
        </w:rPr>
        <w:t xml:space="preserve">, </w:t>
      </w:r>
      <w:r w:rsidRPr="007C2AD0">
        <w:rPr>
          <w:snapToGrid w:val="0"/>
        </w:rPr>
        <w:t>127-133.</w:t>
      </w:r>
    </w:p>
    <w:p w14:paraId="1B50E579" w14:textId="3E39A2C7" w:rsidR="000C0B50" w:rsidRPr="004145CB" w:rsidRDefault="00914F8F" w:rsidP="004145CB">
      <w:pPr>
        <w:pStyle w:val="Rlit"/>
      </w:pPr>
      <w:r w:rsidRPr="004145CB">
        <w:t xml:space="preserve">PRS (2021), </w:t>
      </w:r>
      <w:proofErr w:type="spellStart"/>
      <w:r w:rsidRPr="004145CB">
        <w:rPr>
          <w:i/>
          <w:iCs/>
        </w:rPr>
        <w:t>Przepisy</w:t>
      </w:r>
      <w:proofErr w:type="spellEnd"/>
      <w:r w:rsidRPr="004145CB">
        <w:rPr>
          <w:i/>
          <w:iCs/>
        </w:rPr>
        <w:t xml:space="preserve"> </w:t>
      </w:r>
      <w:proofErr w:type="spellStart"/>
      <w:r w:rsidRPr="004145CB">
        <w:rPr>
          <w:i/>
          <w:iCs/>
        </w:rPr>
        <w:t>nadzoru</w:t>
      </w:r>
      <w:proofErr w:type="spellEnd"/>
      <w:r w:rsidRPr="004145CB">
        <w:rPr>
          <w:i/>
          <w:iCs/>
        </w:rPr>
        <w:t xml:space="preserve"> </w:t>
      </w:r>
      <w:proofErr w:type="spellStart"/>
      <w:r w:rsidRPr="004145CB">
        <w:rPr>
          <w:i/>
          <w:iCs/>
        </w:rPr>
        <w:t>konwencyjnego</w:t>
      </w:r>
      <w:proofErr w:type="spellEnd"/>
      <w:r w:rsidRPr="004145CB">
        <w:rPr>
          <w:i/>
          <w:iCs/>
        </w:rPr>
        <w:t xml:space="preserve"> </w:t>
      </w:r>
      <w:proofErr w:type="spellStart"/>
      <w:r w:rsidRPr="004145CB">
        <w:rPr>
          <w:i/>
          <w:iCs/>
        </w:rPr>
        <w:t>statków</w:t>
      </w:r>
      <w:proofErr w:type="spellEnd"/>
      <w:r w:rsidRPr="004145CB">
        <w:rPr>
          <w:i/>
          <w:iCs/>
        </w:rPr>
        <w:t xml:space="preserve"> </w:t>
      </w:r>
      <w:proofErr w:type="spellStart"/>
      <w:r w:rsidRPr="004145CB">
        <w:rPr>
          <w:i/>
          <w:iCs/>
        </w:rPr>
        <w:t>morskich</w:t>
      </w:r>
      <w:proofErr w:type="spellEnd"/>
      <w:r w:rsidRPr="004145CB">
        <w:rPr>
          <w:i/>
          <w:iCs/>
        </w:rPr>
        <w:t xml:space="preserve">, </w:t>
      </w:r>
      <w:proofErr w:type="spellStart"/>
      <w:r w:rsidRPr="004145CB">
        <w:rPr>
          <w:i/>
          <w:iCs/>
        </w:rPr>
        <w:t>część</w:t>
      </w:r>
      <w:proofErr w:type="spellEnd"/>
      <w:r w:rsidRPr="004145CB">
        <w:rPr>
          <w:i/>
          <w:iCs/>
        </w:rPr>
        <w:t xml:space="preserve"> IX, </w:t>
      </w:r>
      <w:proofErr w:type="spellStart"/>
      <w:r w:rsidRPr="004145CB">
        <w:rPr>
          <w:i/>
          <w:iCs/>
        </w:rPr>
        <w:t>Ochrona</w:t>
      </w:r>
      <w:proofErr w:type="spellEnd"/>
      <w:r w:rsidRPr="004145CB">
        <w:rPr>
          <w:i/>
          <w:iCs/>
        </w:rPr>
        <w:t xml:space="preserve"> </w:t>
      </w:r>
      <w:proofErr w:type="spellStart"/>
      <w:r w:rsidRPr="004145CB">
        <w:rPr>
          <w:i/>
          <w:iCs/>
        </w:rPr>
        <w:t>Środowiska</w:t>
      </w:r>
      <w:proofErr w:type="spellEnd"/>
      <w:r w:rsidRPr="00F6586D">
        <w:t>,</w:t>
      </w:r>
      <w:r w:rsidRPr="004145CB">
        <w:t xml:space="preserve"> (in Polish), Polish Register of Shipping, </w:t>
      </w:r>
      <w:proofErr w:type="spellStart"/>
      <w:r w:rsidRPr="004145CB">
        <w:t>Gdańsk</w:t>
      </w:r>
      <w:proofErr w:type="spellEnd"/>
      <w:r w:rsidRPr="004145CB">
        <w:t>, 2021.</w:t>
      </w:r>
    </w:p>
    <w:p w14:paraId="26419D4D" w14:textId="77777777" w:rsidR="000669E0" w:rsidRPr="004145CB" w:rsidRDefault="000669E0" w:rsidP="004145CB">
      <w:pPr>
        <w:pStyle w:val="Rlit"/>
      </w:pPr>
      <w:r w:rsidRPr="004145CB">
        <w:t xml:space="preserve">SIGGTO, (2016), </w:t>
      </w:r>
      <w:r w:rsidRPr="004145CB">
        <w:rPr>
          <w:i/>
          <w:iCs/>
        </w:rPr>
        <w:t>Liquefied Gas Handling Principles on Ships and in Terminals (LGHP4)</w:t>
      </w:r>
      <w:r w:rsidRPr="004145CB">
        <w:t xml:space="preserve">, </w:t>
      </w:r>
      <w:proofErr w:type="spellStart"/>
      <w:r w:rsidRPr="004145CB">
        <w:t>Witherby</w:t>
      </w:r>
      <w:proofErr w:type="spellEnd"/>
      <w:r w:rsidRPr="004145CB">
        <w:t xml:space="preserve"> Seamanship, ISBN 9781856097147.</w:t>
      </w:r>
    </w:p>
    <w:p w14:paraId="269E0989" w14:textId="3BC4CB63" w:rsidR="000669E0" w:rsidRPr="004145CB" w:rsidRDefault="000669E0" w:rsidP="004145CB">
      <w:pPr>
        <w:pStyle w:val="Rlit"/>
      </w:pPr>
      <w:proofErr w:type="spellStart"/>
      <w:r w:rsidRPr="004145CB">
        <w:t>Stenersen</w:t>
      </w:r>
      <w:proofErr w:type="spellEnd"/>
      <w:r w:rsidR="007C2AD0">
        <w:t>,</w:t>
      </w:r>
      <w:r w:rsidRPr="004145CB">
        <w:t xml:space="preserve"> D., </w:t>
      </w:r>
      <w:proofErr w:type="spellStart"/>
      <w:r w:rsidRPr="004145CB">
        <w:t>Thonstad</w:t>
      </w:r>
      <w:proofErr w:type="spellEnd"/>
      <w:r w:rsidR="007C2AD0">
        <w:t>,</w:t>
      </w:r>
      <w:r w:rsidRPr="004145CB">
        <w:t xml:space="preserve"> O. (2017)</w:t>
      </w:r>
      <w:r w:rsidR="007C2AD0">
        <w:t>.</w:t>
      </w:r>
      <w:r w:rsidRPr="004145CB">
        <w:t xml:space="preserve"> </w:t>
      </w:r>
      <w:r w:rsidRPr="004145CB">
        <w:rPr>
          <w:i/>
          <w:iCs/>
        </w:rPr>
        <w:t>GHG and NO</w:t>
      </w:r>
      <w:r w:rsidRPr="007C2AD0">
        <w:rPr>
          <w:i/>
          <w:iCs/>
          <w:vertAlign w:val="subscript"/>
        </w:rPr>
        <w:t>x</w:t>
      </w:r>
      <w:r w:rsidRPr="004145CB">
        <w:rPr>
          <w:i/>
          <w:iCs/>
        </w:rPr>
        <w:t xml:space="preserve"> emissions from gas </w:t>
      </w:r>
      <w:proofErr w:type="spellStart"/>
      <w:r w:rsidRPr="004145CB">
        <w:rPr>
          <w:i/>
          <w:iCs/>
        </w:rPr>
        <w:t>fuelled</w:t>
      </w:r>
      <w:proofErr w:type="spellEnd"/>
      <w:r w:rsidRPr="004145CB">
        <w:rPr>
          <w:i/>
          <w:iCs/>
        </w:rPr>
        <w:t xml:space="preserve"> engines</w:t>
      </w:r>
      <w:r w:rsidRPr="004145CB">
        <w:t xml:space="preserve">, SINTEF Ocean AS Maritim, </w:t>
      </w:r>
      <w:hyperlink r:id="rId19" w:history="1">
        <w:r w:rsidRPr="004145CB">
          <w:rPr>
            <w:rStyle w:val="Hipercze"/>
            <w:color w:val="auto"/>
            <w:u w:val="none"/>
          </w:rPr>
          <w:t>https://midc.be/wp-content/uploads/2018/06/methane-slip-from-gas-engines-mainreport-1492296.pdf</w:t>
        </w:r>
      </w:hyperlink>
      <w:r w:rsidRPr="004145CB">
        <w:t xml:space="preserve"> (accessed on 22 Feb</w:t>
      </w:r>
      <w:r w:rsidR="00A90EDD">
        <w:t>ruary</w:t>
      </w:r>
      <w:r w:rsidRPr="004145CB">
        <w:t xml:space="preserve"> 2022).</w:t>
      </w:r>
    </w:p>
    <w:p w14:paraId="50139874" w14:textId="3C7707EE" w:rsidR="000669E0" w:rsidRPr="005C088A" w:rsidRDefault="000669E0" w:rsidP="004145CB">
      <w:pPr>
        <w:pStyle w:val="Rlit"/>
        <w:rPr>
          <w:spacing w:val="-2"/>
        </w:rPr>
      </w:pPr>
      <w:r w:rsidRPr="005C088A">
        <w:rPr>
          <w:spacing w:val="-2"/>
        </w:rPr>
        <w:t xml:space="preserve">TGE (2019), </w:t>
      </w:r>
      <w:r w:rsidRPr="005C088A">
        <w:rPr>
          <w:i/>
          <w:iCs/>
          <w:spacing w:val="-2"/>
        </w:rPr>
        <w:t>LNG fuel gas systems</w:t>
      </w:r>
      <w:r w:rsidRPr="005C088A">
        <w:rPr>
          <w:spacing w:val="-2"/>
        </w:rPr>
        <w:t xml:space="preserve">, TGE Marine Gas Engineering GmbH (brochure), </w:t>
      </w:r>
      <w:hyperlink r:id="rId20" w:history="1">
        <w:r w:rsidRPr="005C088A">
          <w:rPr>
            <w:rStyle w:val="Hipercze"/>
            <w:color w:val="auto"/>
            <w:spacing w:val="-2"/>
            <w:u w:val="none"/>
          </w:rPr>
          <w:t>https://www.tge-marine.com/wp-content/uploads/01-Broschuere_LNG.pdf</w:t>
        </w:r>
      </w:hyperlink>
      <w:r w:rsidRPr="005C088A">
        <w:rPr>
          <w:spacing w:val="-2"/>
        </w:rPr>
        <w:t xml:space="preserve"> (accessed on 22 Feb</w:t>
      </w:r>
      <w:r w:rsidR="00A90EDD" w:rsidRPr="005C088A">
        <w:rPr>
          <w:spacing w:val="-2"/>
        </w:rPr>
        <w:t>ruary</w:t>
      </w:r>
      <w:r w:rsidRPr="005C088A">
        <w:rPr>
          <w:spacing w:val="-2"/>
        </w:rPr>
        <w:t xml:space="preserve"> 2022).</w:t>
      </w:r>
    </w:p>
    <w:p w14:paraId="7A11611B" w14:textId="075711CC" w:rsidR="00634E2B" w:rsidRPr="004145CB" w:rsidRDefault="00F13B48" w:rsidP="004145CB">
      <w:pPr>
        <w:pStyle w:val="Rlit"/>
      </w:pPr>
      <w:r w:rsidRPr="004145CB">
        <w:t>Thomson</w:t>
      </w:r>
      <w:r w:rsidR="007C2AD0">
        <w:t>,</w:t>
      </w:r>
      <w:r w:rsidRPr="004145CB">
        <w:t xml:space="preserve"> H., Corbett</w:t>
      </w:r>
      <w:r w:rsidR="007C2AD0">
        <w:t>,</w:t>
      </w:r>
      <w:r w:rsidRPr="004145CB">
        <w:t xml:space="preserve"> J.J., </w:t>
      </w:r>
      <w:proofErr w:type="spellStart"/>
      <w:r w:rsidRPr="004145CB">
        <w:t>Winebrake</w:t>
      </w:r>
      <w:proofErr w:type="spellEnd"/>
      <w:r w:rsidR="007C2AD0">
        <w:t>,</w:t>
      </w:r>
      <w:r w:rsidRPr="004145CB">
        <w:t xml:space="preserve"> J.J. (2015)</w:t>
      </w:r>
      <w:r w:rsidR="007C2AD0">
        <w:t>.</w:t>
      </w:r>
      <w:r w:rsidRPr="004145CB">
        <w:t xml:space="preserve"> </w:t>
      </w:r>
      <w:r w:rsidRPr="007C2AD0">
        <w:t>Natural gas a marine fuel</w:t>
      </w:r>
      <w:r w:rsidR="00F6586D">
        <w:t>.</w:t>
      </w:r>
      <w:r w:rsidRPr="004145CB">
        <w:t xml:space="preserve"> </w:t>
      </w:r>
      <w:r w:rsidRPr="007C2AD0">
        <w:rPr>
          <w:i/>
          <w:iCs/>
        </w:rPr>
        <w:t>Energy Policy</w:t>
      </w:r>
      <w:r w:rsidR="007C2AD0" w:rsidRPr="00F6586D">
        <w:t>,</w:t>
      </w:r>
      <w:r w:rsidRPr="00F6586D">
        <w:t xml:space="preserve"> </w:t>
      </w:r>
      <w:r w:rsidRPr="007C2AD0">
        <w:rPr>
          <w:i/>
          <w:iCs/>
        </w:rPr>
        <w:t>87</w:t>
      </w:r>
      <w:r w:rsidRPr="004145CB">
        <w:t>, 153-167.</w:t>
      </w:r>
    </w:p>
    <w:p w14:paraId="12B25076" w14:textId="42E9E365" w:rsidR="009E3B08" w:rsidRPr="004145CB" w:rsidRDefault="003609F9" w:rsidP="004145CB">
      <w:pPr>
        <w:pStyle w:val="Rlit"/>
      </w:pPr>
      <w:r w:rsidRPr="004145CB">
        <w:t>U.S. EIA</w:t>
      </w:r>
      <w:r w:rsidR="00CD3D83" w:rsidRPr="004145CB">
        <w:t xml:space="preserve"> </w:t>
      </w:r>
      <w:r w:rsidRPr="004145CB">
        <w:t xml:space="preserve">(2020), </w:t>
      </w:r>
      <w:r w:rsidRPr="004145CB">
        <w:rPr>
          <w:i/>
          <w:iCs/>
        </w:rPr>
        <w:t>EIA Report, Annual Energy Outlook 2020</w:t>
      </w:r>
      <w:r w:rsidRPr="004145CB">
        <w:t xml:space="preserve">, U.S. Energy Information Administration, </w:t>
      </w:r>
      <w:hyperlink r:id="rId21" w:history="1">
        <w:r w:rsidRPr="004145CB">
          <w:rPr>
            <w:rStyle w:val="Hipercze"/>
            <w:color w:val="auto"/>
            <w:u w:val="none"/>
          </w:rPr>
          <w:t>https://www.eia.gov/outlooks/aeo/pdf/AEO2020%20Full%20Report.pdf</w:t>
        </w:r>
      </w:hyperlink>
      <w:r w:rsidR="00064DE8">
        <w:t xml:space="preserve"> </w:t>
      </w:r>
      <w:r w:rsidRPr="004145CB">
        <w:t>(accessed on 07 Feb</w:t>
      </w:r>
      <w:r w:rsidR="00A90EDD">
        <w:t>ruary</w:t>
      </w:r>
      <w:r w:rsidRPr="004145CB">
        <w:t xml:space="preserve"> 2022).</w:t>
      </w:r>
    </w:p>
    <w:p w14:paraId="4F0E7F24" w14:textId="77777777" w:rsidR="00C37B1D" w:rsidRPr="003609F9" w:rsidRDefault="00C37B1D" w:rsidP="00427485">
      <w:pPr>
        <w:pStyle w:val="Numerowanie"/>
        <w:rPr>
          <w:rFonts w:ascii="Times New Roman" w:hAnsi="Times New Roman"/>
          <w:lang w:val="en-US"/>
        </w:rPr>
      </w:pPr>
    </w:p>
    <w:sectPr w:rsidR="00C37B1D" w:rsidRPr="003609F9" w:rsidSect="00FA1839">
      <w:headerReference w:type="even" r:id="rId22"/>
      <w:headerReference w:type="default" r:id="rId23"/>
      <w:footerReference w:type="first" r:id="rId24"/>
      <w:pgSz w:w="11907" w:h="16840" w:code="9"/>
      <w:pgMar w:top="1418" w:right="2410" w:bottom="4876" w:left="2410" w:header="737" w:footer="4082"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BA76" w14:textId="77777777" w:rsidR="00317EF2" w:rsidRDefault="00317EF2" w:rsidP="0054042E">
      <w:r>
        <w:separator/>
      </w:r>
    </w:p>
  </w:endnote>
  <w:endnote w:type="continuationSeparator" w:id="0">
    <w:p w14:paraId="5D94B545" w14:textId="77777777" w:rsidR="00317EF2" w:rsidRDefault="00317EF2" w:rsidP="0054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98" w:type="dxa"/>
      <w:tblLook w:val="04A0" w:firstRow="1" w:lastRow="0" w:firstColumn="1" w:lastColumn="0" w:noHBand="0" w:noVBand="1"/>
    </w:tblPr>
    <w:tblGrid>
      <w:gridCol w:w="1384"/>
      <w:gridCol w:w="5387"/>
    </w:tblGrid>
    <w:tr w:rsidR="008D32CE" w:rsidRPr="002F5F59" w14:paraId="75FF692D" w14:textId="77777777" w:rsidTr="004B1D4D">
      <w:trPr>
        <w:trHeight w:val="198"/>
      </w:trPr>
      <w:tc>
        <w:tcPr>
          <w:tcW w:w="1384" w:type="dxa"/>
          <w:shd w:val="clear" w:color="auto" w:fill="auto"/>
          <w:vAlign w:val="center"/>
        </w:tcPr>
        <w:p w14:paraId="192A33BA" w14:textId="3729AE34" w:rsidR="008D32CE" w:rsidRPr="00F23232" w:rsidRDefault="008D32CE" w:rsidP="008D32CE">
          <w:r>
            <w:rPr>
              <w:noProof/>
            </w:rPr>
            <w:drawing>
              <wp:inline distT="0" distB="0" distL="0" distR="0" wp14:anchorId="0EDB9685" wp14:editId="75AADE93">
                <wp:extent cx="681990" cy="23622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236220"/>
                        </a:xfrm>
                        <a:prstGeom prst="rect">
                          <a:avLst/>
                        </a:prstGeom>
                        <a:noFill/>
                        <a:ln>
                          <a:noFill/>
                        </a:ln>
                      </pic:spPr>
                    </pic:pic>
                  </a:graphicData>
                </a:graphic>
              </wp:inline>
            </w:drawing>
          </w:r>
        </w:p>
      </w:tc>
      <w:tc>
        <w:tcPr>
          <w:tcW w:w="5387" w:type="dxa"/>
          <w:shd w:val="clear" w:color="auto" w:fill="auto"/>
          <w:vAlign w:val="center"/>
        </w:tcPr>
        <w:p w14:paraId="030F1E05" w14:textId="77777777" w:rsidR="008D32CE" w:rsidRPr="00F23232" w:rsidRDefault="008D32CE" w:rsidP="008D32CE">
          <w:pPr>
            <w:rPr>
              <w:sz w:val="18"/>
              <w:szCs w:val="18"/>
            </w:rPr>
          </w:pPr>
          <w:r w:rsidRPr="00F23232">
            <w:rPr>
              <w:sz w:val="18"/>
              <w:szCs w:val="18"/>
            </w:rPr>
            <w:t xml:space="preserve">© 2022. Author(s). </w:t>
          </w:r>
          <w:proofErr w:type="spellStart"/>
          <w:r w:rsidRPr="00F23232">
            <w:rPr>
              <w:sz w:val="18"/>
              <w:szCs w:val="18"/>
            </w:rPr>
            <w:t>This</w:t>
          </w:r>
          <w:proofErr w:type="spellEnd"/>
          <w:r w:rsidRPr="00F23232">
            <w:rPr>
              <w:sz w:val="18"/>
              <w:szCs w:val="18"/>
            </w:rPr>
            <w:t xml:space="preserve"> </w:t>
          </w:r>
          <w:proofErr w:type="spellStart"/>
          <w:r w:rsidRPr="00F23232">
            <w:rPr>
              <w:sz w:val="18"/>
              <w:szCs w:val="18"/>
            </w:rPr>
            <w:t>work</w:t>
          </w:r>
          <w:proofErr w:type="spellEnd"/>
          <w:r w:rsidRPr="00F23232">
            <w:rPr>
              <w:sz w:val="18"/>
              <w:szCs w:val="18"/>
            </w:rPr>
            <w:t xml:space="preserve"> </w:t>
          </w:r>
          <w:proofErr w:type="spellStart"/>
          <w:r w:rsidRPr="00F23232">
            <w:rPr>
              <w:sz w:val="18"/>
              <w:szCs w:val="18"/>
            </w:rPr>
            <w:t>is</w:t>
          </w:r>
          <w:proofErr w:type="spellEnd"/>
          <w:r w:rsidRPr="00F23232">
            <w:rPr>
              <w:sz w:val="18"/>
              <w:szCs w:val="18"/>
            </w:rPr>
            <w:t xml:space="preserve"> </w:t>
          </w:r>
          <w:proofErr w:type="spellStart"/>
          <w:r w:rsidRPr="00F23232">
            <w:rPr>
              <w:sz w:val="18"/>
              <w:szCs w:val="18"/>
            </w:rPr>
            <w:t>licensed</w:t>
          </w:r>
          <w:proofErr w:type="spellEnd"/>
          <w:r w:rsidRPr="00F23232">
            <w:rPr>
              <w:sz w:val="18"/>
              <w:szCs w:val="18"/>
            </w:rPr>
            <w:t xml:space="preserve"> </w:t>
          </w:r>
          <w:proofErr w:type="spellStart"/>
          <w:r w:rsidRPr="00F23232">
            <w:rPr>
              <w:sz w:val="18"/>
              <w:szCs w:val="18"/>
            </w:rPr>
            <w:t>under</w:t>
          </w:r>
          <w:proofErr w:type="spellEnd"/>
          <w:r w:rsidRPr="00F23232">
            <w:rPr>
              <w:sz w:val="18"/>
              <w:szCs w:val="18"/>
            </w:rPr>
            <w:t xml:space="preserve"> a Creative </w:t>
          </w:r>
          <w:proofErr w:type="spellStart"/>
          <w:r w:rsidRPr="00F23232">
            <w:rPr>
              <w:sz w:val="18"/>
              <w:szCs w:val="18"/>
            </w:rPr>
            <w:t>Commons</w:t>
          </w:r>
          <w:proofErr w:type="spellEnd"/>
          <w:r w:rsidRPr="00F23232">
            <w:rPr>
              <w:sz w:val="18"/>
              <w:szCs w:val="18"/>
            </w:rPr>
            <w:t xml:space="preserve"> </w:t>
          </w:r>
          <w:proofErr w:type="spellStart"/>
          <w:r w:rsidRPr="00F23232">
            <w:rPr>
              <w:sz w:val="18"/>
              <w:szCs w:val="18"/>
            </w:rPr>
            <w:t>Attribution</w:t>
          </w:r>
          <w:proofErr w:type="spellEnd"/>
          <w:r w:rsidRPr="00F23232">
            <w:rPr>
              <w:sz w:val="18"/>
              <w:szCs w:val="18"/>
            </w:rPr>
            <w:t xml:space="preserve"> 4.0 International License (CC BY-SA)</w:t>
          </w:r>
        </w:p>
      </w:tc>
    </w:tr>
  </w:tbl>
  <w:p w14:paraId="6272C880" w14:textId="77777777" w:rsidR="008D32CE" w:rsidRPr="002F5F59" w:rsidRDefault="008D32CE" w:rsidP="008D32CE">
    <w:pPr>
      <w:pStyle w:val="Stopk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2147" w14:textId="77777777" w:rsidR="00317EF2" w:rsidRDefault="00317EF2" w:rsidP="0054042E">
      <w:r>
        <w:separator/>
      </w:r>
    </w:p>
  </w:footnote>
  <w:footnote w:type="continuationSeparator" w:id="0">
    <w:p w14:paraId="192E38C0" w14:textId="77777777" w:rsidR="00317EF2" w:rsidRDefault="00317EF2" w:rsidP="0054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076BE0" w:rsidRPr="00911802" w14:paraId="0FC2823B" w14:textId="77777777" w:rsidTr="007003D9">
      <w:trPr>
        <w:trHeight w:hRule="exact" w:val="284"/>
      </w:trPr>
      <w:tc>
        <w:tcPr>
          <w:tcW w:w="397" w:type="dxa"/>
          <w:shd w:val="clear" w:color="auto" w:fill="auto"/>
          <w:vAlign w:val="center"/>
        </w:tcPr>
        <w:p w14:paraId="58A0E759" w14:textId="77777777" w:rsidR="00076BE0" w:rsidRPr="00911802" w:rsidRDefault="00076BE0" w:rsidP="00076BE0">
          <w:pPr>
            <w:pStyle w:val="Nagwek"/>
            <w:rPr>
              <w:rFonts w:ascii="Arial" w:hAnsi="Arial" w:cs="Arial"/>
              <w:i/>
              <w:szCs w:val="18"/>
            </w:rPr>
          </w:pPr>
          <w:r w:rsidRPr="00911802">
            <w:rPr>
              <w:rFonts w:ascii="Arial" w:hAnsi="Arial" w:cs="Arial"/>
              <w:szCs w:val="18"/>
            </w:rPr>
            <w:fldChar w:fldCharType="begin"/>
          </w:r>
          <w:r w:rsidRPr="00911802">
            <w:rPr>
              <w:rFonts w:ascii="Arial" w:hAnsi="Arial" w:cs="Arial"/>
              <w:szCs w:val="18"/>
            </w:rPr>
            <w:instrText xml:space="preserve"> PAGE   \* MERGEFORMAT </w:instrText>
          </w:r>
          <w:r w:rsidRPr="00911802">
            <w:rPr>
              <w:rFonts w:ascii="Arial" w:hAnsi="Arial" w:cs="Arial"/>
              <w:szCs w:val="18"/>
            </w:rPr>
            <w:fldChar w:fldCharType="separate"/>
          </w:r>
          <w:r>
            <w:rPr>
              <w:rFonts w:ascii="Arial" w:hAnsi="Arial" w:cs="Arial"/>
              <w:szCs w:val="18"/>
            </w:rPr>
            <w:t>2</w:t>
          </w:r>
          <w:r w:rsidRPr="00911802">
            <w:rPr>
              <w:rFonts w:ascii="Arial" w:hAnsi="Arial" w:cs="Arial"/>
              <w:szCs w:val="18"/>
            </w:rPr>
            <w:fldChar w:fldCharType="end"/>
          </w:r>
        </w:p>
      </w:tc>
      <w:tc>
        <w:tcPr>
          <w:tcW w:w="6690" w:type="dxa"/>
          <w:shd w:val="clear" w:color="auto" w:fill="auto"/>
          <w:vAlign w:val="center"/>
        </w:tcPr>
        <w:p w14:paraId="2FD815A1" w14:textId="51DF8245" w:rsidR="00076BE0" w:rsidRPr="00911802" w:rsidRDefault="009B432A" w:rsidP="00076BE0">
          <w:pPr>
            <w:pStyle w:val="Nagwek"/>
            <w:jc w:val="center"/>
            <w:rPr>
              <w:rFonts w:ascii="Arial" w:hAnsi="Arial" w:cs="Arial"/>
              <w:i/>
              <w:szCs w:val="18"/>
            </w:rPr>
          </w:pPr>
          <w:r w:rsidRPr="009B432A">
            <w:rPr>
              <w:rFonts w:ascii="Arial" w:hAnsi="Arial" w:cs="Arial"/>
              <w:i/>
              <w:szCs w:val="18"/>
            </w:rPr>
            <w:t xml:space="preserve">Jerzy </w:t>
          </w:r>
          <w:proofErr w:type="spellStart"/>
          <w:r w:rsidRPr="009B432A">
            <w:rPr>
              <w:rFonts w:ascii="Arial" w:hAnsi="Arial" w:cs="Arial"/>
              <w:i/>
              <w:szCs w:val="18"/>
            </w:rPr>
            <w:t>Herdzik</w:t>
          </w:r>
          <w:proofErr w:type="spellEnd"/>
        </w:p>
      </w:tc>
    </w:tr>
  </w:tbl>
  <w:p w14:paraId="340AC283" w14:textId="77777777" w:rsidR="00076BE0" w:rsidRPr="00911802" w:rsidRDefault="00076BE0" w:rsidP="00076BE0">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076BE0" w:rsidRPr="00911802" w14:paraId="0993611B" w14:textId="77777777" w:rsidTr="007003D9">
      <w:trPr>
        <w:trHeight w:hRule="exact" w:val="284"/>
        <w:jc w:val="right"/>
      </w:trPr>
      <w:tc>
        <w:tcPr>
          <w:tcW w:w="6691" w:type="dxa"/>
          <w:shd w:val="clear" w:color="auto" w:fill="auto"/>
          <w:vAlign w:val="center"/>
        </w:tcPr>
        <w:p w14:paraId="2D29F690" w14:textId="6A823DF0" w:rsidR="00076BE0" w:rsidRPr="00911802" w:rsidRDefault="009B432A" w:rsidP="00076BE0">
          <w:pPr>
            <w:pStyle w:val="Nagwek"/>
            <w:jc w:val="center"/>
            <w:rPr>
              <w:rFonts w:ascii="Arial" w:hAnsi="Arial" w:cs="Arial"/>
              <w:i/>
              <w:szCs w:val="18"/>
              <w:lang w:val="en-GB"/>
            </w:rPr>
          </w:pPr>
          <w:r w:rsidRPr="009B432A">
            <w:rPr>
              <w:rFonts w:ascii="Arial" w:hAnsi="Arial" w:cs="Arial"/>
              <w:i/>
              <w:szCs w:val="18"/>
              <w:lang w:val="en-GB"/>
            </w:rPr>
            <w:t>Liquefied Natural Gas – The Future Fuel</w:t>
          </w:r>
          <w:r w:rsidR="00076BE0" w:rsidRPr="00911802">
            <w:rPr>
              <w:rFonts w:ascii="Arial" w:hAnsi="Arial" w:cs="Arial"/>
              <w:i/>
              <w:szCs w:val="18"/>
              <w:lang w:val="en-GB"/>
            </w:rPr>
            <w:t>…</w:t>
          </w:r>
        </w:p>
      </w:tc>
      <w:tc>
        <w:tcPr>
          <w:tcW w:w="397" w:type="dxa"/>
          <w:shd w:val="clear" w:color="auto" w:fill="auto"/>
          <w:vAlign w:val="center"/>
        </w:tcPr>
        <w:p w14:paraId="3DE4B227" w14:textId="77777777" w:rsidR="00076BE0" w:rsidRPr="00911802" w:rsidRDefault="00076BE0" w:rsidP="00076BE0">
          <w:pPr>
            <w:pStyle w:val="Nagwek"/>
            <w:jc w:val="right"/>
            <w:rPr>
              <w:rFonts w:ascii="Arial" w:hAnsi="Arial" w:cs="Arial"/>
              <w:i/>
              <w:szCs w:val="18"/>
            </w:rPr>
          </w:pPr>
          <w:r w:rsidRPr="00911802">
            <w:rPr>
              <w:rFonts w:ascii="Arial" w:hAnsi="Arial" w:cs="Arial"/>
              <w:szCs w:val="18"/>
            </w:rPr>
            <w:fldChar w:fldCharType="begin"/>
          </w:r>
          <w:r w:rsidRPr="00911802">
            <w:rPr>
              <w:rFonts w:ascii="Arial" w:hAnsi="Arial" w:cs="Arial"/>
              <w:szCs w:val="18"/>
            </w:rPr>
            <w:instrText xml:space="preserve"> PAGE   \* MERGEFORMAT </w:instrText>
          </w:r>
          <w:r w:rsidRPr="00911802">
            <w:rPr>
              <w:rFonts w:ascii="Arial" w:hAnsi="Arial" w:cs="Arial"/>
              <w:szCs w:val="18"/>
            </w:rPr>
            <w:fldChar w:fldCharType="separate"/>
          </w:r>
          <w:r>
            <w:rPr>
              <w:rFonts w:ascii="Arial" w:hAnsi="Arial" w:cs="Arial"/>
              <w:szCs w:val="18"/>
            </w:rPr>
            <w:t>3</w:t>
          </w:r>
          <w:r w:rsidRPr="00911802">
            <w:rPr>
              <w:rFonts w:ascii="Arial" w:hAnsi="Arial" w:cs="Arial"/>
              <w:szCs w:val="18"/>
            </w:rPr>
            <w:fldChar w:fldCharType="end"/>
          </w:r>
        </w:p>
      </w:tc>
    </w:tr>
  </w:tbl>
  <w:p w14:paraId="7601019A" w14:textId="77777777" w:rsidR="00076BE0" w:rsidRPr="00911802" w:rsidRDefault="00076BE0" w:rsidP="00076BE0">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786"/>
    <w:multiLevelType w:val="multilevel"/>
    <w:tmpl w:val="A2F6581E"/>
    <w:lvl w:ilvl="0">
      <w:start w:val="1"/>
      <w:numFmt w:val="bullet"/>
      <w:lvlText w:val=""/>
      <w:lvlJc w:val="left"/>
      <w:pPr>
        <w:ind w:left="1060" w:hanging="360"/>
      </w:pPr>
      <w:rPr>
        <w:rFonts w:ascii="Symbol" w:hAnsi="Symbol" w:hint="default"/>
      </w:rPr>
    </w:lvl>
    <w:lvl w:ilvl="1">
      <w:start w:val="1"/>
      <w:numFmt w:val="bullet"/>
      <w:lvlText w:val="o"/>
      <w:lvlJc w:val="left"/>
      <w:pPr>
        <w:ind w:left="1780" w:hanging="360"/>
      </w:pPr>
      <w:rPr>
        <w:rFonts w:ascii="Courier New" w:hAnsi="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hint="default"/>
      </w:rPr>
    </w:lvl>
    <w:lvl w:ilvl="8">
      <w:start w:val="1"/>
      <w:numFmt w:val="bullet"/>
      <w:lvlText w:val=""/>
      <w:lvlJc w:val="left"/>
      <w:pPr>
        <w:ind w:left="6820" w:hanging="360"/>
      </w:pPr>
      <w:rPr>
        <w:rFonts w:ascii="Wingdings" w:hAnsi="Wingdings" w:hint="default"/>
      </w:rPr>
    </w:lvl>
  </w:abstractNum>
  <w:abstractNum w:abstractNumId="1" w15:restartNumberingAfterBreak="0">
    <w:nsid w:val="01C17A4B"/>
    <w:multiLevelType w:val="hybridMultilevel"/>
    <w:tmpl w:val="C8085454"/>
    <w:lvl w:ilvl="0" w:tplc="04150001">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2" w15:restartNumberingAfterBreak="0">
    <w:nsid w:val="0F7D60C3"/>
    <w:multiLevelType w:val="hybridMultilevel"/>
    <w:tmpl w:val="EC9E0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547AC0"/>
    <w:multiLevelType w:val="multilevel"/>
    <w:tmpl w:val="DB5C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D3541"/>
    <w:multiLevelType w:val="multilevel"/>
    <w:tmpl w:val="81AE9274"/>
    <w:lvl w:ilvl="0">
      <w:start w:val="1"/>
      <w:numFmt w:val="bullet"/>
      <w:lvlText w:val=""/>
      <w:lvlJc w:val="left"/>
      <w:pPr>
        <w:ind w:left="1060" w:hanging="360"/>
      </w:pPr>
      <w:rPr>
        <w:rFonts w:ascii="Symbol" w:hAnsi="Symbol" w:hint="default"/>
      </w:rPr>
    </w:lvl>
    <w:lvl w:ilvl="1">
      <w:start w:val="1"/>
      <w:numFmt w:val="bullet"/>
      <w:lvlText w:val="o"/>
      <w:lvlJc w:val="left"/>
      <w:pPr>
        <w:ind w:left="1780" w:hanging="360"/>
      </w:pPr>
      <w:rPr>
        <w:rFonts w:ascii="Courier New" w:hAnsi="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hint="default"/>
      </w:rPr>
    </w:lvl>
    <w:lvl w:ilvl="8">
      <w:start w:val="1"/>
      <w:numFmt w:val="bullet"/>
      <w:lvlText w:val=""/>
      <w:lvlJc w:val="left"/>
      <w:pPr>
        <w:ind w:left="6820" w:hanging="360"/>
      </w:pPr>
      <w:rPr>
        <w:rFonts w:ascii="Wingdings" w:hAnsi="Wingdings" w:hint="default"/>
      </w:rPr>
    </w:lvl>
  </w:abstractNum>
  <w:abstractNum w:abstractNumId="5" w15:restartNumberingAfterBreak="0">
    <w:nsid w:val="1984140B"/>
    <w:multiLevelType w:val="multilevel"/>
    <w:tmpl w:val="1A14EFFE"/>
    <w:lvl w:ilvl="0">
      <w:start w:val="1"/>
      <w:numFmt w:val="decimal"/>
      <w:lvlText w:val="%1."/>
      <w:lvlJc w:val="left"/>
      <w:pPr>
        <w:tabs>
          <w:tab w:val="num" w:pos="454"/>
        </w:tabs>
        <w:ind w:left="454" w:hanging="454"/>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7E5588"/>
    <w:multiLevelType w:val="hybridMultilevel"/>
    <w:tmpl w:val="1D5C9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927F66"/>
    <w:multiLevelType w:val="multilevel"/>
    <w:tmpl w:val="EB6E97D4"/>
    <w:lvl w:ilvl="0">
      <w:start w:val="2"/>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A5761"/>
    <w:multiLevelType w:val="hybridMultilevel"/>
    <w:tmpl w:val="B27CC0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902E3F"/>
    <w:multiLevelType w:val="hybridMultilevel"/>
    <w:tmpl w:val="D3760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43A42D4"/>
    <w:multiLevelType w:val="hybridMultilevel"/>
    <w:tmpl w:val="F40C1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7082191"/>
    <w:multiLevelType w:val="hybridMultilevel"/>
    <w:tmpl w:val="EBB89D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6274B8"/>
    <w:multiLevelType w:val="hybridMultilevel"/>
    <w:tmpl w:val="1A2C6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0451023"/>
    <w:multiLevelType w:val="multilevel"/>
    <w:tmpl w:val="C5D4F240"/>
    <w:lvl w:ilvl="0">
      <w:start w:val="1"/>
      <w:numFmt w:val="decimal"/>
      <w:pStyle w:val="Bibliografialista"/>
      <w:lvlText w:val="%1."/>
      <w:lvlJc w:val="left"/>
      <w:pPr>
        <w:ind w:left="360" w:hanging="360"/>
      </w:pPr>
      <w:rPr>
        <w:rFonts w:hint="default"/>
      </w:rPr>
    </w:lvl>
    <w:lvl w:ilvl="1">
      <w:start w:val="1"/>
      <w:numFmt w:val="decimal"/>
      <w:lvlText w:val="%1.%2."/>
      <w:lvlJc w:val="left"/>
      <w:pPr>
        <w:tabs>
          <w:tab w:val="num" w:pos="794"/>
        </w:tabs>
        <w:ind w:left="792" w:hanging="792"/>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0D94304"/>
    <w:multiLevelType w:val="multilevel"/>
    <w:tmpl w:val="64E8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23544B"/>
    <w:multiLevelType w:val="multilevel"/>
    <w:tmpl w:val="DAEE84F2"/>
    <w:lvl w:ilvl="0">
      <w:start w:val="1"/>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D16B01"/>
    <w:multiLevelType w:val="hybridMultilevel"/>
    <w:tmpl w:val="A0F0C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B371F6"/>
    <w:multiLevelType w:val="hybridMultilevel"/>
    <w:tmpl w:val="901859B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8" w15:restartNumberingAfterBreak="0">
    <w:nsid w:val="6E1A3CCA"/>
    <w:multiLevelType w:val="hybridMultilevel"/>
    <w:tmpl w:val="7FFE9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09D15AA"/>
    <w:multiLevelType w:val="hybridMultilevel"/>
    <w:tmpl w:val="A5121A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7B2206"/>
    <w:multiLevelType w:val="hybridMultilevel"/>
    <w:tmpl w:val="EEA60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5B90A71"/>
    <w:multiLevelType w:val="hybridMultilevel"/>
    <w:tmpl w:val="8B98F1C0"/>
    <w:lvl w:ilvl="0" w:tplc="04150001">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22" w15:restartNumberingAfterBreak="0">
    <w:nsid w:val="770C673C"/>
    <w:multiLevelType w:val="hybridMultilevel"/>
    <w:tmpl w:val="84705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F8C753E"/>
    <w:multiLevelType w:val="hybridMultilevel"/>
    <w:tmpl w:val="2A205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8038677">
    <w:abstractNumId w:val="0"/>
  </w:num>
  <w:num w:numId="2" w16cid:durableId="1739982827">
    <w:abstractNumId w:val="5"/>
  </w:num>
  <w:num w:numId="3" w16cid:durableId="5735844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250001">
    <w:abstractNumId w:val="4"/>
  </w:num>
  <w:num w:numId="5" w16cid:durableId="582573012">
    <w:abstractNumId w:val="7"/>
  </w:num>
  <w:num w:numId="6" w16cid:durableId="1423643468">
    <w:abstractNumId w:val="20"/>
  </w:num>
  <w:num w:numId="7" w16cid:durableId="1055660989">
    <w:abstractNumId w:val="23"/>
  </w:num>
  <w:num w:numId="8" w16cid:durableId="255863352">
    <w:abstractNumId w:val="2"/>
  </w:num>
  <w:num w:numId="9" w16cid:durableId="1261834455">
    <w:abstractNumId w:val="22"/>
  </w:num>
  <w:num w:numId="10" w16cid:durableId="709694069">
    <w:abstractNumId w:val="13"/>
  </w:num>
  <w:num w:numId="11" w16cid:durableId="1103920489">
    <w:abstractNumId w:val="3"/>
  </w:num>
  <w:num w:numId="12" w16cid:durableId="526404660">
    <w:abstractNumId w:val="14"/>
  </w:num>
  <w:num w:numId="13" w16cid:durableId="1749575821">
    <w:abstractNumId w:val="6"/>
  </w:num>
  <w:num w:numId="14" w16cid:durableId="1686128600">
    <w:abstractNumId w:val="10"/>
  </w:num>
  <w:num w:numId="15" w16cid:durableId="1535389946">
    <w:abstractNumId w:val="1"/>
  </w:num>
  <w:num w:numId="16" w16cid:durableId="35855492">
    <w:abstractNumId w:val="9"/>
  </w:num>
  <w:num w:numId="17" w16cid:durableId="1128208364">
    <w:abstractNumId w:val="21"/>
  </w:num>
  <w:num w:numId="18" w16cid:durableId="1412501813">
    <w:abstractNumId w:val="17"/>
  </w:num>
  <w:num w:numId="19" w16cid:durableId="1529370503">
    <w:abstractNumId w:val="12"/>
  </w:num>
  <w:num w:numId="20" w16cid:durableId="1393773491">
    <w:abstractNumId w:val="11"/>
  </w:num>
  <w:num w:numId="21" w16cid:durableId="185563105">
    <w:abstractNumId w:val="15"/>
  </w:num>
  <w:num w:numId="22" w16cid:durableId="1867404465">
    <w:abstractNumId w:val="8"/>
  </w:num>
  <w:num w:numId="23" w16cid:durableId="706876810">
    <w:abstractNumId w:val="19"/>
  </w:num>
  <w:num w:numId="24" w16cid:durableId="1318149351">
    <w:abstractNumId w:val="16"/>
  </w:num>
  <w:num w:numId="25" w16cid:durableId="8858768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mirrorMargins/>
  <w:hideSpellingErrors/>
  <w:hideGrammaticalErrors/>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wNzK0NLYwNDY1NTZQ0lEKTi0uzszPAykwrAUACB1EDCwAAAA="/>
  </w:docVars>
  <w:rsids>
    <w:rsidRoot w:val="001D41EC"/>
    <w:rsid w:val="00004545"/>
    <w:rsid w:val="000105D2"/>
    <w:rsid w:val="00010E54"/>
    <w:rsid w:val="00015868"/>
    <w:rsid w:val="00020A3F"/>
    <w:rsid w:val="00022922"/>
    <w:rsid w:val="00022F99"/>
    <w:rsid w:val="0003658E"/>
    <w:rsid w:val="00040370"/>
    <w:rsid w:val="00040B18"/>
    <w:rsid w:val="00041E08"/>
    <w:rsid w:val="000428A9"/>
    <w:rsid w:val="00046461"/>
    <w:rsid w:val="00047D7D"/>
    <w:rsid w:val="0005363B"/>
    <w:rsid w:val="000542FB"/>
    <w:rsid w:val="00054521"/>
    <w:rsid w:val="0005503A"/>
    <w:rsid w:val="00060384"/>
    <w:rsid w:val="00061323"/>
    <w:rsid w:val="000628EF"/>
    <w:rsid w:val="00064DE8"/>
    <w:rsid w:val="0006506D"/>
    <w:rsid w:val="000669E0"/>
    <w:rsid w:val="00073C22"/>
    <w:rsid w:val="0007579B"/>
    <w:rsid w:val="00075F15"/>
    <w:rsid w:val="00076BE0"/>
    <w:rsid w:val="00080E45"/>
    <w:rsid w:val="00085AF5"/>
    <w:rsid w:val="00087703"/>
    <w:rsid w:val="000928A2"/>
    <w:rsid w:val="000943A0"/>
    <w:rsid w:val="00095D53"/>
    <w:rsid w:val="000A1F63"/>
    <w:rsid w:val="000A208B"/>
    <w:rsid w:val="000A2E12"/>
    <w:rsid w:val="000A5B4F"/>
    <w:rsid w:val="000C098F"/>
    <w:rsid w:val="000C0B50"/>
    <w:rsid w:val="000C39D0"/>
    <w:rsid w:val="000C6A78"/>
    <w:rsid w:val="000D3811"/>
    <w:rsid w:val="000D7E5F"/>
    <w:rsid w:val="000E20ED"/>
    <w:rsid w:val="000E3355"/>
    <w:rsid w:val="000E5522"/>
    <w:rsid w:val="000F38DF"/>
    <w:rsid w:val="000F6714"/>
    <w:rsid w:val="000F797B"/>
    <w:rsid w:val="00100033"/>
    <w:rsid w:val="00100923"/>
    <w:rsid w:val="00100F01"/>
    <w:rsid w:val="00104138"/>
    <w:rsid w:val="00111736"/>
    <w:rsid w:val="0011274B"/>
    <w:rsid w:val="00115EA7"/>
    <w:rsid w:val="00116F62"/>
    <w:rsid w:val="001230D7"/>
    <w:rsid w:val="00123287"/>
    <w:rsid w:val="00123AE0"/>
    <w:rsid w:val="00126C6F"/>
    <w:rsid w:val="00131873"/>
    <w:rsid w:val="00136D45"/>
    <w:rsid w:val="00137C18"/>
    <w:rsid w:val="00137CA3"/>
    <w:rsid w:val="00140B5F"/>
    <w:rsid w:val="0014231E"/>
    <w:rsid w:val="001434B0"/>
    <w:rsid w:val="001461A1"/>
    <w:rsid w:val="00147719"/>
    <w:rsid w:val="00154233"/>
    <w:rsid w:val="001568DB"/>
    <w:rsid w:val="00163121"/>
    <w:rsid w:val="00164B81"/>
    <w:rsid w:val="00171D29"/>
    <w:rsid w:val="00172DCA"/>
    <w:rsid w:val="001777C4"/>
    <w:rsid w:val="00177F62"/>
    <w:rsid w:val="001911BB"/>
    <w:rsid w:val="0019123C"/>
    <w:rsid w:val="001913C8"/>
    <w:rsid w:val="0019161D"/>
    <w:rsid w:val="00191E0D"/>
    <w:rsid w:val="00194FE9"/>
    <w:rsid w:val="00196E45"/>
    <w:rsid w:val="001A0D62"/>
    <w:rsid w:val="001A4967"/>
    <w:rsid w:val="001B407D"/>
    <w:rsid w:val="001B52B5"/>
    <w:rsid w:val="001C6347"/>
    <w:rsid w:val="001C72CB"/>
    <w:rsid w:val="001C72CE"/>
    <w:rsid w:val="001C7F95"/>
    <w:rsid w:val="001D0C7B"/>
    <w:rsid w:val="001D1345"/>
    <w:rsid w:val="001D41EC"/>
    <w:rsid w:val="001E1DEC"/>
    <w:rsid w:val="001E2175"/>
    <w:rsid w:val="001E28C6"/>
    <w:rsid w:val="001F4922"/>
    <w:rsid w:val="001F7237"/>
    <w:rsid w:val="00201D2A"/>
    <w:rsid w:val="002119EF"/>
    <w:rsid w:val="0021327B"/>
    <w:rsid w:val="00213EF2"/>
    <w:rsid w:val="00220619"/>
    <w:rsid w:val="00220B5F"/>
    <w:rsid w:val="00224AAD"/>
    <w:rsid w:val="00226F96"/>
    <w:rsid w:val="00227AF6"/>
    <w:rsid w:val="0023353A"/>
    <w:rsid w:val="00234533"/>
    <w:rsid w:val="0023654C"/>
    <w:rsid w:val="00237879"/>
    <w:rsid w:val="002431DF"/>
    <w:rsid w:val="002433CE"/>
    <w:rsid w:val="0024627B"/>
    <w:rsid w:val="00253E8A"/>
    <w:rsid w:val="0026255A"/>
    <w:rsid w:val="0026412A"/>
    <w:rsid w:val="00264BFB"/>
    <w:rsid w:val="00273342"/>
    <w:rsid w:val="00274921"/>
    <w:rsid w:val="00276650"/>
    <w:rsid w:val="00277D66"/>
    <w:rsid w:val="00281944"/>
    <w:rsid w:val="002831C6"/>
    <w:rsid w:val="002868C1"/>
    <w:rsid w:val="002910F2"/>
    <w:rsid w:val="00291AB0"/>
    <w:rsid w:val="00294335"/>
    <w:rsid w:val="002947BF"/>
    <w:rsid w:val="00295463"/>
    <w:rsid w:val="002A5441"/>
    <w:rsid w:val="002A5519"/>
    <w:rsid w:val="002A5B4F"/>
    <w:rsid w:val="002A6F46"/>
    <w:rsid w:val="002C21DB"/>
    <w:rsid w:val="002C3EA8"/>
    <w:rsid w:val="002D0BE6"/>
    <w:rsid w:val="002D0D48"/>
    <w:rsid w:val="002D3ADC"/>
    <w:rsid w:val="002D5C3C"/>
    <w:rsid w:val="002E3273"/>
    <w:rsid w:val="002E3A5D"/>
    <w:rsid w:val="002F0B74"/>
    <w:rsid w:val="002F0BBD"/>
    <w:rsid w:val="002F1772"/>
    <w:rsid w:val="002F1A17"/>
    <w:rsid w:val="002F23D8"/>
    <w:rsid w:val="002F43C8"/>
    <w:rsid w:val="002F612B"/>
    <w:rsid w:val="003001A7"/>
    <w:rsid w:val="00303CFD"/>
    <w:rsid w:val="0030513F"/>
    <w:rsid w:val="00307796"/>
    <w:rsid w:val="00317BC3"/>
    <w:rsid w:val="00317EF2"/>
    <w:rsid w:val="00321E11"/>
    <w:rsid w:val="00323407"/>
    <w:rsid w:val="00326D40"/>
    <w:rsid w:val="003334EF"/>
    <w:rsid w:val="0033444F"/>
    <w:rsid w:val="00334F9B"/>
    <w:rsid w:val="00336038"/>
    <w:rsid w:val="003431F6"/>
    <w:rsid w:val="0034451C"/>
    <w:rsid w:val="0034498A"/>
    <w:rsid w:val="00344BAD"/>
    <w:rsid w:val="003464A5"/>
    <w:rsid w:val="00347478"/>
    <w:rsid w:val="0035089B"/>
    <w:rsid w:val="00350AC3"/>
    <w:rsid w:val="00352A43"/>
    <w:rsid w:val="003535A0"/>
    <w:rsid w:val="00353E22"/>
    <w:rsid w:val="00360882"/>
    <w:rsid w:val="003609F9"/>
    <w:rsid w:val="0036355F"/>
    <w:rsid w:val="00365DC3"/>
    <w:rsid w:val="00366991"/>
    <w:rsid w:val="003711E1"/>
    <w:rsid w:val="0037132D"/>
    <w:rsid w:val="003744B1"/>
    <w:rsid w:val="0037613A"/>
    <w:rsid w:val="0037752D"/>
    <w:rsid w:val="0038286E"/>
    <w:rsid w:val="003836FB"/>
    <w:rsid w:val="00384A8A"/>
    <w:rsid w:val="0038700C"/>
    <w:rsid w:val="00391E08"/>
    <w:rsid w:val="003A0996"/>
    <w:rsid w:val="003A295A"/>
    <w:rsid w:val="003A513B"/>
    <w:rsid w:val="003B228F"/>
    <w:rsid w:val="003B3B53"/>
    <w:rsid w:val="003B4DD5"/>
    <w:rsid w:val="003B53C5"/>
    <w:rsid w:val="003C07CB"/>
    <w:rsid w:val="003C3078"/>
    <w:rsid w:val="003C38CF"/>
    <w:rsid w:val="003C64F2"/>
    <w:rsid w:val="003C7DF4"/>
    <w:rsid w:val="003D6329"/>
    <w:rsid w:val="003E108F"/>
    <w:rsid w:val="003E22B8"/>
    <w:rsid w:val="003F21E4"/>
    <w:rsid w:val="003F4448"/>
    <w:rsid w:val="003F509E"/>
    <w:rsid w:val="003F6277"/>
    <w:rsid w:val="0040340D"/>
    <w:rsid w:val="00407BF6"/>
    <w:rsid w:val="004145CB"/>
    <w:rsid w:val="00414E45"/>
    <w:rsid w:val="004168C1"/>
    <w:rsid w:val="0042079C"/>
    <w:rsid w:val="004265EB"/>
    <w:rsid w:val="00426FBD"/>
    <w:rsid w:val="004272CE"/>
    <w:rsid w:val="00427485"/>
    <w:rsid w:val="00430420"/>
    <w:rsid w:val="004316DE"/>
    <w:rsid w:val="004344B4"/>
    <w:rsid w:val="00437FBD"/>
    <w:rsid w:val="00443642"/>
    <w:rsid w:val="00443A39"/>
    <w:rsid w:val="0044540E"/>
    <w:rsid w:val="0044742F"/>
    <w:rsid w:val="00455286"/>
    <w:rsid w:val="00457AC6"/>
    <w:rsid w:val="00465621"/>
    <w:rsid w:val="004657B6"/>
    <w:rsid w:val="00466E68"/>
    <w:rsid w:val="0047158E"/>
    <w:rsid w:val="00471E9D"/>
    <w:rsid w:val="004736D1"/>
    <w:rsid w:val="00474628"/>
    <w:rsid w:val="00475954"/>
    <w:rsid w:val="00475DA0"/>
    <w:rsid w:val="0048680E"/>
    <w:rsid w:val="00491D5B"/>
    <w:rsid w:val="00492143"/>
    <w:rsid w:val="004926B9"/>
    <w:rsid w:val="00495600"/>
    <w:rsid w:val="004972D3"/>
    <w:rsid w:val="004A31E3"/>
    <w:rsid w:val="004A5292"/>
    <w:rsid w:val="004B1D4D"/>
    <w:rsid w:val="004C436B"/>
    <w:rsid w:val="004C64CB"/>
    <w:rsid w:val="004D47AD"/>
    <w:rsid w:val="004D51A8"/>
    <w:rsid w:val="004D59FC"/>
    <w:rsid w:val="004E0888"/>
    <w:rsid w:val="004E0EAE"/>
    <w:rsid w:val="004E2F06"/>
    <w:rsid w:val="004F35BE"/>
    <w:rsid w:val="00505DA2"/>
    <w:rsid w:val="00507ACD"/>
    <w:rsid w:val="00510BD8"/>
    <w:rsid w:val="0051286F"/>
    <w:rsid w:val="00512DCF"/>
    <w:rsid w:val="00514915"/>
    <w:rsid w:val="00514B06"/>
    <w:rsid w:val="00520313"/>
    <w:rsid w:val="00521EF7"/>
    <w:rsid w:val="00522459"/>
    <w:rsid w:val="00522C93"/>
    <w:rsid w:val="0052335B"/>
    <w:rsid w:val="005260C1"/>
    <w:rsid w:val="005315C4"/>
    <w:rsid w:val="0053223C"/>
    <w:rsid w:val="005331F9"/>
    <w:rsid w:val="00533D97"/>
    <w:rsid w:val="0054042E"/>
    <w:rsid w:val="0054097E"/>
    <w:rsid w:val="00542B1A"/>
    <w:rsid w:val="005430A1"/>
    <w:rsid w:val="00544221"/>
    <w:rsid w:val="0055055A"/>
    <w:rsid w:val="0055351A"/>
    <w:rsid w:val="005632C5"/>
    <w:rsid w:val="0057029E"/>
    <w:rsid w:val="00572FE5"/>
    <w:rsid w:val="00573C10"/>
    <w:rsid w:val="005751DE"/>
    <w:rsid w:val="00575824"/>
    <w:rsid w:val="00580748"/>
    <w:rsid w:val="00580DD9"/>
    <w:rsid w:val="005811D3"/>
    <w:rsid w:val="00581E9C"/>
    <w:rsid w:val="00581F7F"/>
    <w:rsid w:val="00582F5A"/>
    <w:rsid w:val="00591B6D"/>
    <w:rsid w:val="00591CE1"/>
    <w:rsid w:val="00591D6A"/>
    <w:rsid w:val="00595A93"/>
    <w:rsid w:val="00596BCE"/>
    <w:rsid w:val="00597439"/>
    <w:rsid w:val="005A06AE"/>
    <w:rsid w:val="005A1AD7"/>
    <w:rsid w:val="005A772E"/>
    <w:rsid w:val="005B05A7"/>
    <w:rsid w:val="005B0E5F"/>
    <w:rsid w:val="005B26E6"/>
    <w:rsid w:val="005B2DB1"/>
    <w:rsid w:val="005B3256"/>
    <w:rsid w:val="005C020C"/>
    <w:rsid w:val="005C088A"/>
    <w:rsid w:val="005C752E"/>
    <w:rsid w:val="005D13F1"/>
    <w:rsid w:val="005E3A9F"/>
    <w:rsid w:val="005E4D4B"/>
    <w:rsid w:val="005F08CD"/>
    <w:rsid w:val="005F19CB"/>
    <w:rsid w:val="005F3794"/>
    <w:rsid w:val="005F74FE"/>
    <w:rsid w:val="006119A7"/>
    <w:rsid w:val="00615531"/>
    <w:rsid w:val="00621B0D"/>
    <w:rsid w:val="00621F94"/>
    <w:rsid w:val="00625465"/>
    <w:rsid w:val="006262EF"/>
    <w:rsid w:val="00634E2B"/>
    <w:rsid w:val="006407C5"/>
    <w:rsid w:val="0064095B"/>
    <w:rsid w:val="00641015"/>
    <w:rsid w:val="006468B0"/>
    <w:rsid w:val="00650884"/>
    <w:rsid w:val="00650D26"/>
    <w:rsid w:val="00654A16"/>
    <w:rsid w:val="00660622"/>
    <w:rsid w:val="00665420"/>
    <w:rsid w:val="00670C40"/>
    <w:rsid w:val="00673DED"/>
    <w:rsid w:val="006767D3"/>
    <w:rsid w:val="0067760F"/>
    <w:rsid w:val="00681868"/>
    <w:rsid w:val="00690761"/>
    <w:rsid w:val="00691485"/>
    <w:rsid w:val="0069180F"/>
    <w:rsid w:val="00692B68"/>
    <w:rsid w:val="00695E27"/>
    <w:rsid w:val="0069634A"/>
    <w:rsid w:val="006A080E"/>
    <w:rsid w:val="006A76F5"/>
    <w:rsid w:val="006A7B38"/>
    <w:rsid w:val="006B4372"/>
    <w:rsid w:val="006C46C3"/>
    <w:rsid w:val="006C7A18"/>
    <w:rsid w:val="006C7DFE"/>
    <w:rsid w:val="006D28D9"/>
    <w:rsid w:val="006E33AC"/>
    <w:rsid w:val="006E49F7"/>
    <w:rsid w:val="006E5193"/>
    <w:rsid w:val="006E51B4"/>
    <w:rsid w:val="006F4A2D"/>
    <w:rsid w:val="006F4F0E"/>
    <w:rsid w:val="0070197C"/>
    <w:rsid w:val="007030FB"/>
    <w:rsid w:val="00706943"/>
    <w:rsid w:val="00713E96"/>
    <w:rsid w:val="007146D4"/>
    <w:rsid w:val="00714E05"/>
    <w:rsid w:val="0071623A"/>
    <w:rsid w:val="00716840"/>
    <w:rsid w:val="00724E84"/>
    <w:rsid w:val="00725365"/>
    <w:rsid w:val="007261CA"/>
    <w:rsid w:val="0073135B"/>
    <w:rsid w:val="00734937"/>
    <w:rsid w:val="0074161E"/>
    <w:rsid w:val="00742D29"/>
    <w:rsid w:val="00745F04"/>
    <w:rsid w:val="007472A9"/>
    <w:rsid w:val="00753CB3"/>
    <w:rsid w:val="007624BB"/>
    <w:rsid w:val="007743B2"/>
    <w:rsid w:val="00775BE4"/>
    <w:rsid w:val="007764E8"/>
    <w:rsid w:val="00777C01"/>
    <w:rsid w:val="00780E83"/>
    <w:rsid w:val="007820B6"/>
    <w:rsid w:val="0078264E"/>
    <w:rsid w:val="00782EA7"/>
    <w:rsid w:val="00787C48"/>
    <w:rsid w:val="0079196F"/>
    <w:rsid w:val="00792B0C"/>
    <w:rsid w:val="007970E8"/>
    <w:rsid w:val="007A3995"/>
    <w:rsid w:val="007A5DA2"/>
    <w:rsid w:val="007A7FCC"/>
    <w:rsid w:val="007B2791"/>
    <w:rsid w:val="007B2D08"/>
    <w:rsid w:val="007B3BDD"/>
    <w:rsid w:val="007B4D81"/>
    <w:rsid w:val="007B5304"/>
    <w:rsid w:val="007B68CF"/>
    <w:rsid w:val="007B78C4"/>
    <w:rsid w:val="007C0515"/>
    <w:rsid w:val="007C107E"/>
    <w:rsid w:val="007C188E"/>
    <w:rsid w:val="007C1986"/>
    <w:rsid w:val="007C2AD0"/>
    <w:rsid w:val="007C6D4D"/>
    <w:rsid w:val="007D4E91"/>
    <w:rsid w:val="007D5330"/>
    <w:rsid w:val="007D6530"/>
    <w:rsid w:val="007F22D7"/>
    <w:rsid w:val="007F3E7B"/>
    <w:rsid w:val="007F437B"/>
    <w:rsid w:val="007F46B7"/>
    <w:rsid w:val="007F7CB2"/>
    <w:rsid w:val="00802391"/>
    <w:rsid w:val="00802DE1"/>
    <w:rsid w:val="008075BF"/>
    <w:rsid w:val="008127AC"/>
    <w:rsid w:val="00812D09"/>
    <w:rsid w:val="00821AD3"/>
    <w:rsid w:val="0084111F"/>
    <w:rsid w:val="008412EB"/>
    <w:rsid w:val="008456F4"/>
    <w:rsid w:val="00862FBB"/>
    <w:rsid w:val="008637C4"/>
    <w:rsid w:val="0086597F"/>
    <w:rsid w:val="008724C4"/>
    <w:rsid w:val="00885812"/>
    <w:rsid w:val="00887602"/>
    <w:rsid w:val="0089571D"/>
    <w:rsid w:val="008964F7"/>
    <w:rsid w:val="008A2A47"/>
    <w:rsid w:val="008B0A9B"/>
    <w:rsid w:val="008B1FF3"/>
    <w:rsid w:val="008B762D"/>
    <w:rsid w:val="008C5330"/>
    <w:rsid w:val="008C7D7B"/>
    <w:rsid w:val="008D09D5"/>
    <w:rsid w:val="008D13FD"/>
    <w:rsid w:val="008D14F5"/>
    <w:rsid w:val="008D32CE"/>
    <w:rsid w:val="008D39DA"/>
    <w:rsid w:val="008D64E7"/>
    <w:rsid w:val="008D6982"/>
    <w:rsid w:val="008E2531"/>
    <w:rsid w:val="008E4EF4"/>
    <w:rsid w:val="008F0167"/>
    <w:rsid w:val="008F391E"/>
    <w:rsid w:val="008F4813"/>
    <w:rsid w:val="008F55D5"/>
    <w:rsid w:val="008F6F92"/>
    <w:rsid w:val="00901101"/>
    <w:rsid w:val="009028E2"/>
    <w:rsid w:val="0091127B"/>
    <w:rsid w:val="009113C7"/>
    <w:rsid w:val="00911736"/>
    <w:rsid w:val="00913D21"/>
    <w:rsid w:val="00914F8F"/>
    <w:rsid w:val="009207CE"/>
    <w:rsid w:val="00924208"/>
    <w:rsid w:val="00927BD8"/>
    <w:rsid w:val="00930D79"/>
    <w:rsid w:val="00935471"/>
    <w:rsid w:val="009377C4"/>
    <w:rsid w:val="00952109"/>
    <w:rsid w:val="00952F41"/>
    <w:rsid w:val="00954EBE"/>
    <w:rsid w:val="009568C5"/>
    <w:rsid w:val="009602FB"/>
    <w:rsid w:val="009630F6"/>
    <w:rsid w:val="00963A07"/>
    <w:rsid w:val="00971624"/>
    <w:rsid w:val="009737B7"/>
    <w:rsid w:val="00974DE6"/>
    <w:rsid w:val="00982893"/>
    <w:rsid w:val="0098566C"/>
    <w:rsid w:val="009914FD"/>
    <w:rsid w:val="00996ED4"/>
    <w:rsid w:val="009971D9"/>
    <w:rsid w:val="009A0963"/>
    <w:rsid w:val="009A1DF9"/>
    <w:rsid w:val="009A55E2"/>
    <w:rsid w:val="009A6968"/>
    <w:rsid w:val="009A6E72"/>
    <w:rsid w:val="009B1201"/>
    <w:rsid w:val="009B1D93"/>
    <w:rsid w:val="009B3AE2"/>
    <w:rsid w:val="009B432A"/>
    <w:rsid w:val="009B47BA"/>
    <w:rsid w:val="009C3825"/>
    <w:rsid w:val="009C3D57"/>
    <w:rsid w:val="009C4AAA"/>
    <w:rsid w:val="009D04D9"/>
    <w:rsid w:val="009D33FF"/>
    <w:rsid w:val="009E3B08"/>
    <w:rsid w:val="009E6484"/>
    <w:rsid w:val="009F15C3"/>
    <w:rsid w:val="009F45ED"/>
    <w:rsid w:val="00A00321"/>
    <w:rsid w:val="00A00856"/>
    <w:rsid w:val="00A022D6"/>
    <w:rsid w:val="00A02A39"/>
    <w:rsid w:val="00A03BC2"/>
    <w:rsid w:val="00A052A5"/>
    <w:rsid w:val="00A10C41"/>
    <w:rsid w:val="00A1168A"/>
    <w:rsid w:val="00A1201A"/>
    <w:rsid w:val="00A21F77"/>
    <w:rsid w:val="00A24562"/>
    <w:rsid w:val="00A26871"/>
    <w:rsid w:val="00A27AC4"/>
    <w:rsid w:val="00A34CE7"/>
    <w:rsid w:val="00A372B7"/>
    <w:rsid w:val="00A41E9E"/>
    <w:rsid w:val="00A50BBE"/>
    <w:rsid w:val="00A52CC7"/>
    <w:rsid w:val="00A556CC"/>
    <w:rsid w:val="00A56474"/>
    <w:rsid w:val="00A70404"/>
    <w:rsid w:val="00A70DC2"/>
    <w:rsid w:val="00A760D7"/>
    <w:rsid w:val="00A80830"/>
    <w:rsid w:val="00A8386E"/>
    <w:rsid w:val="00A90EDD"/>
    <w:rsid w:val="00A931C9"/>
    <w:rsid w:val="00A97E7C"/>
    <w:rsid w:val="00AB6749"/>
    <w:rsid w:val="00AB79FA"/>
    <w:rsid w:val="00AC42AF"/>
    <w:rsid w:val="00AC54D9"/>
    <w:rsid w:val="00AC600E"/>
    <w:rsid w:val="00AC667C"/>
    <w:rsid w:val="00AD0BEE"/>
    <w:rsid w:val="00AD41B7"/>
    <w:rsid w:val="00AE28D8"/>
    <w:rsid w:val="00AE310C"/>
    <w:rsid w:val="00AE3231"/>
    <w:rsid w:val="00AE5544"/>
    <w:rsid w:val="00B01FAF"/>
    <w:rsid w:val="00B12F14"/>
    <w:rsid w:val="00B14CF1"/>
    <w:rsid w:val="00B15D1B"/>
    <w:rsid w:val="00B20399"/>
    <w:rsid w:val="00B2492C"/>
    <w:rsid w:val="00B324CC"/>
    <w:rsid w:val="00B4084F"/>
    <w:rsid w:val="00B42CFC"/>
    <w:rsid w:val="00B4383C"/>
    <w:rsid w:val="00B44D08"/>
    <w:rsid w:val="00B45DFE"/>
    <w:rsid w:val="00B46F25"/>
    <w:rsid w:val="00B4703A"/>
    <w:rsid w:val="00B475F1"/>
    <w:rsid w:val="00B50C5C"/>
    <w:rsid w:val="00B5268E"/>
    <w:rsid w:val="00B56148"/>
    <w:rsid w:val="00B57CC6"/>
    <w:rsid w:val="00B63DBA"/>
    <w:rsid w:val="00B64D42"/>
    <w:rsid w:val="00B65188"/>
    <w:rsid w:val="00B70B59"/>
    <w:rsid w:val="00B71A74"/>
    <w:rsid w:val="00B735E3"/>
    <w:rsid w:val="00B74C20"/>
    <w:rsid w:val="00B81DC6"/>
    <w:rsid w:val="00B83522"/>
    <w:rsid w:val="00B85FD5"/>
    <w:rsid w:val="00B922B2"/>
    <w:rsid w:val="00B9318D"/>
    <w:rsid w:val="00B93A00"/>
    <w:rsid w:val="00B93E38"/>
    <w:rsid w:val="00B9560A"/>
    <w:rsid w:val="00B96E04"/>
    <w:rsid w:val="00BA0991"/>
    <w:rsid w:val="00BA1CA3"/>
    <w:rsid w:val="00BA2037"/>
    <w:rsid w:val="00BA23C6"/>
    <w:rsid w:val="00BA7002"/>
    <w:rsid w:val="00BB0014"/>
    <w:rsid w:val="00BB002C"/>
    <w:rsid w:val="00BB3D76"/>
    <w:rsid w:val="00BB6579"/>
    <w:rsid w:val="00BC0D4A"/>
    <w:rsid w:val="00BC1911"/>
    <w:rsid w:val="00BC1C6A"/>
    <w:rsid w:val="00BC6381"/>
    <w:rsid w:val="00BC7957"/>
    <w:rsid w:val="00BD0603"/>
    <w:rsid w:val="00BD0F79"/>
    <w:rsid w:val="00BD6D14"/>
    <w:rsid w:val="00BD6E8F"/>
    <w:rsid w:val="00BE5229"/>
    <w:rsid w:val="00BE5822"/>
    <w:rsid w:val="00BE58B2"/>
    <w:rsid w:val="00BE6935"/>
    <w:rsid w:val="00BF1386"/>
    <w:rsid w:val="00BF51D9"/>
    <w:rsid w:val="00BF5A60"/>
    <w:rsid w:val="00C04859"/>
    <w:rsid w:val="00C05F1D"/>
    <w:rsid w:val="00C12995"/>
    <w:rsid w:val="00C14F12"/>
    <w:rsid w:val="00C1583B"/>
    <w:rsid w:val="00C1735D"/>
    <w:rsid w:val="00C2374B"/>
    <w:rsid w:val="00C3091B"/>
    <w:rsid w:val="00C34382"/>
    <w:rsid w:val="00C34453"/>
    <w:rsid w:val="00C37B1D"/>
    <w:rsid w:val="00C46463"/>
    <w:rsid w:val="00C50564"/>
    <w:rsid w:val="00C53853"/>
    <w:rsid w:val="00C55248"/>
    <w:rsid w:val="00C552C8"/>
    <w:rsid w:val="00C61932"/>
    <w:rsid w:val="00C6216D"/>
    <w:rsid w:val="00C62563"/>
    <w:rsid w:val="00C70C78"/>
    <w:rsid w:val="00C72104"/>
    <w:rsid w:val="00C75603"/>
    <w:rsid w:val="00C75AC6"/>
    <w:rsid w:val="00C770F9"/>
    <w:rsid w:val="00C81533"/>
    <w:rsid w:val="00C85DA3"/>
    <w:rsid w:val="00C869D6"/>
    <w:rsid w:val="00C870EA"/>
    <w:rsid w:val="00C90AC7"/>
    <w:rsid w:val="00C93DB2"/>
    <w:rsid w:val="00CA51D0"/>
    <w:rsid w:val="00CA5A40"/>
    <w:rsid w:val="00CB695E"/>
    <w:rsid w:val="00CC014D"/>
    <w:rsid w:val="00CC6AC2"/>
    <w:rsid w:val="00CC7211"/>
    <w:rsid w:val="00CD2911"/>
    <w:rsid w:val="00CD31FF"/>
    <w:rsid w:val="00CD3D83"/>
    <w:rsid w:val="00CE152D"/>
    <w:rsid w:val="00CE2575"/>
    <w:rsid w:val="00CE3B5E"/>
    <w:rsid w:val="00CE3B9D"/>
    <w:rsid w:val="00CE58C5"/>
    <w:rsid w:val="00CE5F28"/>
    <w:rsid w:val="00CE649E"/>
    <w:rsid w:val="00CE6816"/>
    <w:rsid w:val="00CE6A96"/>
    <w:rsid w:val="00CF0469"/>
    <w:rsid w:val="00CF7B66"/>
    <w:rsid w:val="00D03122"/>
    <w:rsid w:val="00D0752A"/>
    <w:rsid w:val="00D07B57"/>
    <w:rsid w:val="00D1104E"/>
    <w:rsid w:val="00D135FC"/>
    <w:rsid w:val="00D235A1"/>
    <w:rsid w:val="00D23F9F"/>
    <w:rsid w:val="00D243E3"/>
    <w:rsid w:val="00D250C9"/>
    <w:rsid w:val="00D27FAD"/>
    <w:rsid w:val="00D36B03"/>
    <w:rsid w:val="00D371A5"/>
    <w:rsid w:val="00D41F91"/>
    <w:rsid w:val="00D42A35"/>
    <w:rsid w:val="00D42DC5"/>
    <w:rsid w:val="00D43A03"/>
    <w:rsid w:val="00D46D0A"/>
    <w:rsid w:val="00D47116"/>
    <w:rsid w:val="00D47206"/>
    <w:rsid w:val="00D50689"/>
    <w:rsid w:val="00D508C1"/>
    <w:rsid w:val="00D50BC5"/>
    <w:rsid w:val="00D57534"/>
    <w:rsid w:val="00D57A23"/>
    <w:rsid w:val="00D60E9F"/>
    <w:rsid w:val="00D615CD"/>
    <w:rsid w:val="00D639ED"/>
    <w:rsid w:val="00D64156"/>
    <w:rsid w:val="00D66092"/>
    <w:rsid w:val="00D66683"/>
    <w:rsid w:val="00D66856"/>
    <w:rsid w:val="00D7209E"/>
    <w:rsid w:val="00D75544"/>
    <w:rsid w:val="00D825EE"/>
    <w:rsid w:val="00D835FA"/>
    <w:rsid w:val="00D83FB7"/>
    <w:rsid w:val="00D84A42"/>
    <w:rsid w:val="00D866CD"/>
    <w:rsid w:val="00D86861"/>
    <w:rsid w:val="00D91582"/>
    <w:rsid w:val="00D931C8"/>
    <w:rsid w:val="00D93602"/>
    <w:rsid w:val="00D96362"/>
    <w:rsid w:val="00DA0B06"/>
    <w:rsid w:val="00DA2286"/>
    <w:rsid w:val="00DA41FA"/>
    <w:rsid w:val="00DB651D"/>
    <w:rsid w:val="00DC08E9"/>
    <w:rsid w:val="00DD16F4"/>
    <w:rsid w:val="00DD5F83"/>
    <w:rsid w:val="00DF01C8"/>
    <w:rsid w:val="00DF054A"/>
    <w:rsid w:val="00DF13F7"/>
    <w:rsid w:val="00DF5778"/>
    <w:rsid w:val="00DF5ADE"/>
    <w:rsid w:val="00DF7046"/>
    <w:rsid w:val="00E01EC0"/>
    <w:rsid w:val="00E03A40"/>
    <w:rsid w:val="00E05B57"/>
    <w:rsid w:val="00E0618B"/>
    <w:rsid w:val="00E06D57"/>
    <w:rsid w:val="00E10657"/>
    <w:rsid w:val="00E121A5"/>
    <w:rsid w:val="00E31EB8"/>
    <w:rsid w:val="00E356AF"/>
    <w:rsid w:val="00E37F20"/>
    <w:rsid w:val="00E4201E"/>
    <w:rsid w:val="00E4659F"/>
    <w:rsid w:val="00E502F1"/>
    <w:rsid w:val="00E615AA"/>
    <w:rsid w:val="00E707EF"/>
    <w:rsid w:val="00E733E0"/>
    <w:rsid w:val="00E7480D"/>
    <w:rsid w:val="00E74B1F"/>
    <w:rsid w:val="00E77AE5"/>
    <w:rsid w:val="00E84FF5"/>
    <w:rsid w:val="00E957FC"/>
    <w:rsid w:val="00E958D7"/>
    <w:rsid w:val="00EA394F"/>
    <w:rsid w:val="00EA4847"/>
    <w:rsid w:val="00EB40F2"/>
    <w:rsid w:val="00EB619B"/>
    <w:rsid w:val="00EB7600"/>
    <w:rsid w:val="00EB7B9C"/>
    <w:rsid w:val="00EC46BF"/>
    <w:rsid w:val="00EC746C"/>
    <w:rsid w:val="00ED13F1"/>
    <w:rsid w:val="00ED2AD4"/>
    <w:rsid w:val="00ED46A6"/>
    <w:rsid w:val="00ED5BD9"/>
    <w:rsid w:val="00ED6757"/>
    <w:rsid w:val="00EE09F0"/>
    <w:rsid w:val="00EE2298"/>
    <w:rsid w:val="00EE412C"/>
    <w:rsid w:val="00EE54AD"/>
    <w:rsid w:val="00EE61AE"/>
    <w:rsid w:val="00EE76F9"/>
    <w:rsid w:val="00EF1A10"/>
    <w:rsid w:val="00EF34E0"/>
    <w:rsid w:val="00EF43EA"/>
    <w:rsid w:val="00EF7C8E"/>
    <w:rsid w:val="00EF7DDE"/>
    <w:rsid w:val="00F036F0"/>
    <w:rsid w:val="00F05FBA"/>
    <w:rsid w:val="00F13B48"/>
    <w:rsid w:val="00F16C69"/>
    <w:rsid w:val="00F22ED0"/>
    <w:rsid w:val="00F25830"/>
    <w:rsid w:val="00F30241"/>
    <w:rsid w:val="00F345A9"/>
    <w:rsid w:val="00F34EC3"/>
    <w:rsid w:val="00F41272"/>
    <w:rsid w:val="00F424A8"/>
    <w:rsid w:val="00F466E3"/>
    <w:rsid w:val="00F500CF"/>
    <w:rsid w:val="00F517BF"/>
    <w:rsid w:val="00F527B2"/>
    <w:rsid w:val="00F55687"/>
    <w:rsid w:val="00F56D3A"/>
    <w:rsid w:val="00F57A2E"/>
    <w:rsid w:val="00F57D3B"/>
    <w:rsid w:val="00F61F1E"/>
    <w:rsid w:val="00F641C3"/>
    <w:rsid w:val="00F6586D"/>
    <w:rsid w:val="00F76D2F"/>
    <w:rsid w:val="00F77992"/>
    <w:rsid w:val="00F82635"/>
    <w:rsid w:val="00F86F31"/>
    <w:rsid w:val="00F87C17"/>
    <w:rsid w:val="00F91026"/>
    <w:rsid w:val="00F96331"/>
    <w:rsid w:val="00F964AC"/>
    <w:rsid w:val="00F9777E"/>
    <w:rsid w:val="00F97B8B"/>
    <w:rsid w:val="00F97FD0"/>
    <w:rsid w:val="00FA1839"/>
    <w:rsid w:val="00FA37AB"/>
    <w:rsid w:val="00FA5ABF"/>
    <w:rsid w:val="00FA62F0"/>
    <w:rsid w:val="00FA7FBB"/>
    <w:rsid w:val="00FB0B7E"/>
    <w:rsid w:val="00FB1D22"/>
    <w:rsid w:val="00FB3401"/>
    <w:rsid w:val="00FB384B"/>
    <w:rsid w:val="00FB5C0B"/>
    <w:rsid w:val="00FB65AA"/>
    <w:rsid w:val="00FC20FD"/>
    <w:rsid w:val="00FD0CD2"/>
    <w:rsid w:val="00FD1C49"/>
    <w:rsid w:val="00FD2198"/>
    <w:rsid w:val="00FD4D7B"/>
    <w:rsid w:val="00FE2918"/>
    <w:rsid w:val="00FE579C"/>
    <w:rsid w:val="00FE60A6"/>
    <w:rsid w:val="00FF00A1"/>
    <w:rsid w:val="00FF326B"/>
    <w:rsid w:val="00FF6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454C"/>
  <w15:chartTrackingRefBased/>
  <w15:docId w15:val="{6472967A-9C3F-49A7-9C77-E6CCA9B4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41E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rsid w:val="001D41EC"/>
    <w:pPr>
      <w:keepNext/>
      <w:jc w:val="center"/>
      <w:outlineLvl w:val="0"/>
    </w:pPr>
    <w:rPr>
      <w:b/>
      <w:lang w:val="en-US"/>
    </w:rPr>
  </w:style>
  <w:style w:type="paragraph" w:styleId="Nagwek2">
    <w:name w:val="heading 2"/>
    <w:basedOn w:val="Normalny"/>
    <w:next w:val="Normalny"/>
    <w:link w:val="Nagwek2Znak"/>
    <w:uiPriority w:val="9"/>
    <w:semiHidden/>
    <w:unhideWhenUsed/>
    <w:qFormat/>
    <w:rsid w:val="00927B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41EC"/>
    <w:rPr>
      <w:rFonts w:ascii="Times New Roman" w:eastAsia="Times New Roman" w:hAnsi="Times New Roman" w:cs="Times New Roman"/>
      <w:b/>
      <w:sz w:val="20"/>
      <w:szCs w:val="20"/>
      <w:lang w:val="en-US" w:eastAsia="pl-PL"/>
    </w:rPr>
  </w:style>
  <w:style w:type="paragraph" w:customStyle="1" w:styleId="Tekst">
    <w:name w:val="Tekst"/>
    <w:basedOn w:val="Normalny"/>
    <w:rsid w:val="001D41EC"/>
    <w:pPr>
      <w:ind w:firstLine="340"/>
      <w:jc w:val="both"/>
    </w:pPr>
    <w:rPr>
      <w:sz w:val="24"/>
    </w:rPr>
  </w:style>
  <w:style w:type="character" w:styleId="Hipercze">
    <w:name w:val="Hyperlink"/>
    <w:semiHidden/>
    <w:rsid w:val="001D41EC"/>
    <w:rPr>
      <w:color w:val="0000FF"/>
      <w:u w:val="single"/>
    </w:rPr>
  </w:style>
  <w:style w:type="paragraph" w:customStyle="1" w:styleId="Bibliografialista">
    <w:name w:val="Bibliografia lista"/>
    <w:basedOn w:val="Normalny"/>
    <w:rsid w:val="001D41EC"/>
    <w:pPr>
      <w:numPr>
        <w:numId w:val="3"/>
      </w:numPr>
      <w:ind w:left="340" w:hanging="340"/>
      <w:jc w:val="both"/>
    </w:pPr>
    <w:rPr>
      <w:sz w:val="24"/>
    </w:rPr>
  </w:style>
  <w:style w:type="paragraph" w:customStyle="1" w:styleId="NormalnyWeb1">
    <w:name w:val="Normalny (Web)1"/>
    <w:basedOn w:val="Normalny"/>
    <w:rsid w:val="001D41EC"/>
    <w:pPr>
      <w:spacing w:before="100" w:after="100"/>
    </w:pPr>
    <w:rPr>
      <w:sz w:val="24"/>
    </w:rPr>
  </w:style>
  <w:style w:type="character" w:styleId="Pogrubienie">
    <w:name w:val="Strong"/>
    <w:uiPriority w:val="22"/>
    <w:qFormat/>
    <w:rsid w:val="001D41EC"/>
    <w:rPr>
      <w:b/>
    </w:rPr>
  </w:style>
  <w:style w:type="paragraph" w:customStyle="1" w:styleId="Numerowanie">
    <w:name w:val="Numerowanie"/>
    <w:basedOn w:val="Normalny"/>
    <w:rsid w:val="001D41EC"/>
    <w:pPr>
      <w:ind w:left="284" w:hanging="284"/>
      <w:jc w:val="both"/>
    </w:pPr>
    <w:rPr>
      <w:rFonts w:ascii="Arial Narrow" w:hAnsi="Arial Narrow"/>
    </w:rPr>
  </w:style>
  <w:style w:type="character" w:customStyle="1" w:styleId="Nagwek2Znak">
    <w:name w:val="Nagłówek 2 Znak"/>
    <w:basedOn w:val="Domylnaczcionkaakapitu"/>
    <w:link w:val="Nagwek2"/>
    <w:uiPriority w:val="9"/>
    <w:semiHidden/>
    <w:rsid w:val="00927BD8"/>
    <w:rPr>
      <w:rFonts w:asciiTheme="majorHAnsi" w:eastAsiaTheme="majorEastAsia" w:hAnsiTheme="majorHAnsi" w:cstheme="majorBidi"/>
      <w:color w:val="2F5496" w:themeColor="accent1" w:themeShade="BF"/>
      <w:sz w:val="26"/>
      <w:szCs w:val="26"/>
      <w:lang w:eastAsia="pl-PL"/>
    </w:rPr>
  </w:style>
  <w:style w:type="paragraph" w:styleId="NormalnyWeb">
    <w:name w:val="Normal (Web)"/>
    <w:basedOn w:val="Normalny"/>
    <w:uiPriority w:val="99"/>
    <w:semiHidden/>
    <w:unhideWhenUsed/>
    <w:rsid w:val="00927BD8"/>
    <w:pPr>
      <w:spacing w:before="100" w:beforeAutospacing="1" w:after="100" w:afterAutospacing="1"/>
    </w:pPr>
    <w:rPr>
      <w:sz w:val="24"/>
      <w:szCs w:val="24"/>
    </w:rPr>
  </w:style>
  <w:style w:type="character" w:styleId="Uwydatnienie">
    <w:name w:val="Emphasis"/>
    <w:basedOn w:val="Domylnaczcionkaakapitu"/>
    <w:uiPriority w:val="20"/>
    <w:qFormat/>
    <w:rsid w:val="00927BD8"/>
    <w:rPr>
      <w:i/>
      <w:iCs/>
    </w:rPr>
  </w:style>
  <w:style w:type="paragraph" w:styleId="Legenda">
    <w:name w:val="caption"/>
    <w:basedOn w:val="Normalny"/>
    <w:next w:val="Normalny"/>
    <w:uiPriority w:val="35"/>
    <w:unhideWhenUsed/>
    <w:qFormat/>
    <w:rsid w:val="00073C22"/>
    <w:pPr>
      <w:spacing w:after="200"/>
    </w:pPr>
    <w:rPr>
      <w:i/>
      <w:iCs/>
      <w:color w:val="44546A" w:themeColor="text2"/>
      <w:sz w:val="18"/>
      <w:szCs w:val="18"/>
    </w:rPr>
  </w:style>
  <w:style w:type="table" w:styleId="Tabela-Siatka">
    <w:name w:val="Table Grid"/>
    <w:basedOn w:val="Standardowy"/>
    <w:rsid w:val="006E4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4042E"/>
  </w:style>
  <w:style w:type="character" w:customStyle="1" w:styleId="TekstprzypisukocowegoZnak">
    <w:name w:val="Tekst przypisu końcowego Znak"/>
    <w:basedOn w:val="Domylnaczcionkaakapitu"/>
    <w:link w:val="Tekstprzypisukocowego"/>
    <w:uiPriority w:val="99"/>
    <w:semiHidden/>
    <w:rsid w:val="005404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4042E"/>
    <w:rPr>
      <w:vertAlign w:val="superscript"/>
    </w:rPr>
  </w:style>
  <w:style w:type="character" w:styleId="Nierozpoznanawzmianka">
    <w:name w:val="Unresolved Mention"/>
    <w:basedOn w:val="Domylnaczcionkaakapitu"/>
    <w:uiPriority w:val="99"/>
    <w:semiHidden/>
    <w:unhideWhenUsed/>
    <w:rsid w:val="000C098F"/>
    <w:rPr>
      <w:color w:val="605E5C"/>
      <w:shd w:val="clear" w:color="auto" w:fill="E1DFDD"/>
    </w:rPr>
  </w:style>
  <w:style w:type="paragraph" w:customStyle="1" w:styleId="Default">
    <w:name w:val="Default"/>
    <w:rsid w:val="00111736"/>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5A1AD7"/>
    <w:rPr>
      <w:color w:val="808080"/>
    </w:rPr>
  </w:style>
  <w:style w:type="paragraph" w:styleId="Akapitzlist">
    <w:name w:val="List Paragraph"/>
    <w:basedOn w:val="Normalny"/>
    <w:uiPriority w:val="34"/>
    <w:qFormat/>
    <w:rsid w:val="00B01FAF"/>
    <w:pPr>
      <w:ind w:left="720"/>
      <w:contextualSpacing/>
    </w:pPr>
  </w:style>
  <w:style w:type="paragraph" w:customStyle="1" w:styleId="Rab1">
    <w:name w:val="R_ab1"/>
    <w:next w:val="Normalny"/>
    <w:autoRedefine/>
    <w:qFormat/>
    <w:rsid w:val="00C37B1D"/>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443642"/>
    <w:pPr>
      <w:spacing w:before="60"/>
      <w:jc w:val="left"/>
    </w:pPr>
  </w:style>
  <w:style w:type="paragraph" w:customStyle="1" w:styleId="Rafiliacja">
    <w:name w:val="R_afiliacja"/>
    <w:basedOn w:val="Normalny"/>
    <w:link w:val="RafiliacjaZnak"/>
    <w:qFormat/>
    <w:rsid w:val="00C37B1D"/>
    <w:pPr>
      <w:suppressAutoHyphens/>
      <w:jc w:val="center"/>
    </w:pPr>
    <w:rPr>
      <w:rFonts w:eastAsiaTheme="minorHAnsi"/>
      <w:i/>
      <w:szCs w:val="28"/>
      <w:lang w:eastAsia="en-US"/>
    </w:rPr>
  </w:style>
  <w:style w:type="character" w:customStyle="1" w:styleId="RafiliacjaZnak">
    <w:name w:val="R_afiliacja Znak"/>
    <w:basedOn w:val="Domylnaczcionkaakapitu"/>
    <w:link w:val="Rafiliacja"/>
    <w:rsid w:val="00C37B1D"/>
    <w:rPr>
      <w:rFonts w:ascii="Times New Roman" w:hAnsi="Times New Roman" w:cs="Times New Roman"/>
      <w:i/>
      <w:sz w:val="20"/>
      <w:szCs w:val="28"/>
    </w:rPr>
  </w:style>
  <w:style w:type="paragraph" w:customStyle="1" w:styleId="Rauco">
    <w:name w:val="R_au_co"/>
    <w:basedOn w:val="Rafiliacja"/>
    <w:autoRedefine/>
    <w:qFormat/>
    <w:rsid w:val="00C37B1D"/>
    <w:pPr>
      <w:spacing w:before="120"/>
    </w:pPr>
    <w:rPr>
      <w:lang w:val="en-GB"/>
    </w:rPr>
  </w:style>
  <w:style w:type="paragraph" w:customStyle="1" w:styleId="Rn1">
    <w:name w:val="R_n1"/>
    <w:basedOn w:val="Normalny"/>
    <w:link w:val="Rn1Znak"/>
    <w:qFormat/>
    <w:rsid w:val="00C37B1D"/>
    <w:pPr>
      <w:suppressAutoHyphens/>
      <w:spacing w:before="240" w:after="120"/>
      <w:jc w:val="both"/>
    </w:pPr>
    <w:rPr>
      <w:rFonts w:eastAsiaTheme="minorHAnsi" w:cstheme="minorBidi"/>
      <w:b/>
      <w:sz w:val="24"/>
      <w:szCs w:val="22"/>
      <w:lang w:eastAsia="en-US"/>
    </w:rPr>
  </w:style>
  <w:style w:type="character" w:customStyle="1" w:styleId="Rn1Znak">
    <w:name w:val="R_n1 Znak"/>
    <w:basedOn w:val="Domylnaczcionkaakapitu"/>
    <w:link w:val="Rn1"/>
    <w:rsid w:val="00C37B1D"/>
    <w:rPr>
      <w:rFonts w:ascii="Times New Roman" w:hAnsi="Times New Roman"/>
      <w:b/>
      <w:sz w:val="24"/>
    </w:rPr>
  </w:style>
  <w:style w:type="paragraph" w:customStyle="1" w:styleId="Rn2">
    <w:name w:val="R_n2"/>
    <w:basedOn w:val="Rn1"/>
    <w:link w:val="Rn2Znak"/>
    <w:qFormat/>
    <w:rsid w:val="00C37B1D"/>
    <w:pPr>
      <w:spacing w:before="120"/>
      <w:jc w:val="left"/>
    </w:pPr>
    <w:rPr>
      <w:sz w:val="22"/>
    </w:rPr>
  </w:style>
  <w:style w:type="character" w:customStyle="1" w:styleId="Rn2Znak">
    <w:name w:val="R_n2 Znak"/>
    <w:link w:val="Rn2"/>
    <w:rsid w:val="00C37B1D"/>
    <w:rPr>
      <w:rFonts w:ascii="Times New Roman" w:hAnsi="Times New Roman"/>
      <w:b/>
    </w:rPr>
  </w:style>
  <w:style w:type="paragraph" w:customStyle="1" w:styleId="Rtytu">
    <w:name w:val="R_tytuł"/>
    <w:basedOn w:val="Rn2"/>
    <w:link w:val="RtytuZnak"/>
    <w:autoRedefine/>
    <w:qFormat/>
    <w:rsid w:val="00C37B1D"/>
    <w:pPr>
      <w:spacing w:before="240" w:after="0"/>
      <w:jc w:val="center"/>
    </w:pPr>
    <w:rPr>
      <w:sz w:val="24"/>
      <w:szCs w:val="28"/>
    </w:rPr>
  </w:style>
  <w:style w:type="character" w:customStyle="1" w:styleId="RtytuZnak">
    <w:name w:val="R_tytuł Znak"/>
    <w:basedOn w:val="Rn2Znak"/>
    <w:link w:val="Rtytu"/>
    <w:rsid w:val="00C37B1D"/>
    <w:rPr>
      <w:rFonts w:ascii="Times New Roman" w:hAnsi="Times New Roman"/>
      <w:b/>
      <w:sz w:val="24"/>
      <w:szCs w:val="28"/>
    </w:rPr>
  </w:style>
  <w:style w:type="paragraph" w:customStyle="1" w:styleId="Rautor">
    <w:name w:val="R_autor"/>
    <w:basedOn w:val="Rtytu"/>
    <w:link w:val="RautorZnak"/>
    <w:autoRedefine/>
    <w:qFormat/>
    <w:rsid w:val="00C37B1D"/>
    <w:pPr>
      <w:spacing w:before="120"/>
    </w:pPr>
    <w:rPr>
      <w:rFonts w:eastAsia="Calibri" w:cs="Times New Roman"/>
      <w:b w:val="0"/>
      <w:i/>
    </w:rPr>
  </w:style>
  <w:style w:type="character" w:customStyle="1" w:styleId="RautorZnak">
    <w:name w:val="R_autor Znak"/>
    <w:link w:val="Rautor"/>
    <w:rsid w:val="00C37B1D"/>
    <w:rPr>
      <w:rFonts w:ascii="Times New Roman" w:eastAsia="Calibri" w:hAnsi="Times New Roman" w:cs="Times New Roman"/>
      <w:i/>
      <w:sz w:val="24"/>
      <w:szCs w:val="28"/>
    </w:rPr>
  </w:style>
  <w:style w:type="paragraph" w:customStyle="1" w:styleId="Rlit">
    <w:name w:val="R_lit"/>
    <w:basedOn w:val="Normalny"/>
    <w:link w:val="RlitZnak"/>
    <w:qFormat/>
    <w:rsid w:val="00C37B1D"/>
    <w:pPr>
      <w:ind w:left="425" w:hanging="425"/>
      <w:jc w:val="both"/>
    </w:pPr>
    <w:rPr>
      <w:lang w:val="en-US"/>
    </w:rPr>
  </w:style>
  <w:style w:type="character" w:customStyle="1" w:styleId="RlitZnak">
    <w:name w:val="R_lit Znak"/>
    <w:basedOn w:val="Domylnaczcionkaakapitu"/>
    <w:link w:val="Rlit"/>
    <w:rsid w:val="00C37B1D"/>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C37B1D"/>
    <w:pPr>
      <w:suppressAutoHyphens/>
      <w:spacing w:after="120"/>
    </w:pPr>
    <w:rPr>
      <w:rFonts w:eastAsiaTheme="minorHAnsi" w:cstheme="minorBidi"/>
      <w:szCs w:val="22"/>
      <w:lang w:eastAsia="en-US"/>
    </w:rPr>
  </w:style>
  <w:style w:type="character" w:customStyle="1" w:styleId="RtabZnak">
    <w:name w:val="R_tab Znak"/>
    <w:basedOn w:val="Domylnaczcionkaakapitu"/>
    <w:link w:val="Rtab"/>
    <w:rsid w:val="00C37B1D"/>
    <w:rPr>
      <w:rFonts w:ascii="Times New Roman" w:hAnsi="Times New Roman"/>
      <w:sz w:val="20"/>
    </w:rPr>
  </w:style>
  <w:style w:type="paragraph" w:customStyle="1" w:styleId="Rn3">
    <w:name w:val="R_n3"/>
    <w:basedOn w:val="Rtab"/>
    <w:link w:val="Rn3Znak"/>
    <w:qFormat/>
    <w:rsid w:val="00C37B1D"/>
    <w:pPr>
      <w:spacing w:before="120"/>
    </w:pPr>
    <w:rPr>
      <w:i/>
    </w:rPr>
  </w:style>
  <w:style w:type="character" w:customStyle="1" w:styleId="Rn3Znak">
    <w:name w:val="R_n3 Znak"/>
    <w:basedOn w:val="RtabZnak"/>
    <w:link w:val="Rn3"/>
    <w:rsid w:val="00C37B1D"/>
    <w:rPr>
      <w:rFonts w:ascii="Times New Roman" w:hAnsi="Times New Roman"/>
      <w:i/>
      <w:sz w:val="20"/>
    </w:rPr>
  </w:style>
  <w:style w:type="paragraph" w:customStyle="1" w:styleId="Rrys">
    <w:name w:val="R_rys"/>
    <w:basedOn w:val="Rafiliacja"/>
    <w:link w:val="RrysZnak"/>
    <w:qFormat/>
    <w:rsid w:val="00C37B1D"/>
    <w:pPr>
      <w:spacing w:before="120"/>
      <w:jc w:val="left"/>
    </w:pPr>
    <w:rPr>
      <w:i w:val="0"/>
    </w:rPr>
  </w:style>
  <w:style w:type="character" w:customStyle="1" w:styleId="RrysZnak">
    <w:name w:val="R_rys Znak"/>
    <w:basedOn w:val="RafiliacjaZnak"/>
    <w:link w:val="Rrys"/>
    <w:rsid w:val="00C37B1D"/>
    <w:rPr>
      <w:rFonts w:ascii="Times New Roman" w:hAnsi="Times New Roman" w:cs="Times New Roman"/>
      <w:i w:val="0"/>
      <w:sz w:val="20"/>
      <w:szCs w:val="28"/>
    </w:rPr>
  </w:style>
  <w:style w:type="paragraph" w:styleId="Nagwek">
    <w:name w:val="header"/>
    <w:basedOn w:val="Normalny"/>
    <w:link w:val="NagwekZnak"/>
    <w:uiPriority w:val="99"/>
    <w:unhideWhenUsed/>
    <w:rsid w:val="00076BE0"/>
    <w:pPr>
      <w:tabs>
        <w:tab w:val="center" w:pos="4536"/>
        <w:tab w:val="right" w:pos="9072"/>
      </w:tabs>
    </w:pPr>
  </w:style>
  <w:style w:type="character" w:customStyle="1" w:styleId="NagwekZnak">
    <w:name w:val="Nagłówek Znak"/>
    <w:basedOn w:val="Domylnaczcionkaakapitu"/>
    <w:link w:val="Nagwek"/>
    <w:uiPriority w:val="99"/>
    <w:rsid w:val="00076BE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76BE0"/>
    <w:pPr>
      <w:tabs>
        <w:tab w:val="center" w:pos="4536"/>
        <w:tab w:val="right" w:pos="9072"/>
      </w:tabs>
    </w:pPr>
  </w:style>
  <w:style w:type="character" w:customStyle="1" w:styleId="StopkaZnak">
    <w:name w:val="Stopka Znak"/>
    <w:basedOn w:val="Domylnaczcionkaakapitu"/>
    <w:link w:val="Stopka"/>
    <w:uiPriority w:val="99"/>
    <w:rsid w:val="00076BE0"/>
    <w:rPr>
      <w:rFonts w:ascii="Times New Roman" w:eastAsia="Times New Roman" w:hAnsi="Times New Roman" w:cs="Times New Roman"/>
      <w:sz w:val="20"/>
      <w:szCs w:val="20"/>
      <w:lang w:eastAsia="pl-PL"/>
    </w:rPr>
  </w:style>
  <w:style w:type="character" w:customStyle="1" w:styleId="q4iawc">
    <w:name w:val="q4iawc"/>
    <w:basedOn w:val="Domylnaczcionkaakapitu"/>
    <w:rsid w:val="004C4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86481">
      <w:bodyDiv w:val="1"/>
      <w:marLeft w:val="0"/>
      <w:marRight w:val="0"/>
      <w:marTop w:val="0"/>
      <w:marBottom w:val="0"/>
      <w:divBdr>
        <w:top w:val="none" w:sz="0" w:space="0" w:color="auto"/>
        <w:left w:val="none" w:sz="0" w:space="0" w:color="auto"/>
        <w:bottom w:val="none" w:sz="0" w:space="0" w:color="auto"/>
        <w:right w:val="none" w:sz="0" w:space="0" w:color="auto"/>
      </w:divBdr>
    </w:div>
    <w:div w:id="672998449">
      <w:bodyDiv w:val="1"/>
      <w:marLeft w:val="0"/>
      <w:marRight w:val="0"/>
      <w:marTop w:val="0"/>
      <w:marBottom w:val="0"/>
      <w:divBdr>
        <w:top w:val="none" w:sz="0" w:space="0" w:color="auto"/>
        <w:left w:val="none" w:sz="0" w:space="0" w:color="auto"/>
        <w:bottom w:val="none" w:sz="0" w:space="0" w:color="auto"/>
        <w:right w:val="none" w:sz="0" w:space="0" w:color="auto"/>
      </w:divBdr>
      <w:divsChild>
        <w:div w:id="1628587140">
          <w:marLeft w:val="0"/>
          <w:marRight w:val="0"/>
          <w:marTop w:val="480"/>
          <w:marBottom w:val="480"/>
          <w:divBdr>
            <w:top w:val="none" w:sz="0" w:space="0" w:color="auto"/>
            <w:left w:val="none" w:sz="0" w:space="0" w:color="auto"/>
            <w:bottom w:val="none" w:sz="0" w:space="0" w:color="auto"/>
            <w:right w:val="none" w:sz="0" w:space="0" w:color="auto"/>
          </w:divBdr>
        </w:div>
      </w:divsChild>
    </w:div>
    <w:div w:id="1127160765">
      <w:bodyDiv w:val="1"/>
      <w:marLeft w:val="0"/>
      <w:marRight w:val="0"/>
      <w:marTop w:val="0"/>
      <w:marBottom w:val="0"/>
      <w:divBdr>
        <w:top w:val="none" w:sz="0" w:space="0" w:color="auto"/>
        <w:left w:val="none" w:sz="0" w:space="0" w:color="auto"/>
        <w:bottom w:val="none" w:sz="0" w:space="0" w:color="auto"/>
        <w:right w:val="none" w:sz="0" w:space="0" w:color="auto"/>
      </w:divBdr>
    </w:div>
    <w:div w:id="1360861476">
      <w:bodyDiv w:val="1"/>
      <w:marLeft w:val="0"/>
      <w:marRight w:val="0"/>
      <w:marTop w:val="0"/>
      <w:marBottom w:val="0"/>
      <w:divBdr>
        <w:top w:val="none" w:sz="0" w:space="0" w:color="auto"/>
        <w:left w:val="none" w:sz="0" w:space="0" w:color="auto"/>
        <w:bottom w:val="none" w:sz="0" w:space="0" w:color="auto"/>
        <w:right w:val="none" w:sz="0" w:space="0" w:color="auto"/>
      </w:divBdr>
    </w:div>
    <w:div w:id="1539582211">
      <w:bodyDiv w:val="1"/>
      <w:marLeft w:val="0"/>
      <w:marRight w:val="0"/>
      <w:marTop w:val="0"/>
      <w:marBottom w:val="0"/>
      <w:divBdr>
        <w:top w:val="none" w:sz="0" w:space="0" w:color="auto"/>
        <w:left w:val="none" w:sz="0" w:space="0" w:color="auto"/>
        <w:bottom w:val="none" w:sz="0" w:space="0" w:color="auto"/>
        <w:right w:val="none" w:sz="0" w:space="0" w:color="auto"/>
      </w:divBdr>
    </w:div>
    <w:div w:id="1900743941">
      <w:bodyDiv w:val="1"/>
      <w:marLeft w:val="0"/>
      <w:marRight w:val="0"/>
      <w:marTop w:val="0"/>
      <w:marBottom w:val="0"/>
      <w:divBdr>
        <w:top w:val="none" w:sz="0" w:space="0" w:color="auto"/>
        <w:left w:val="none" w:sz="0" w:space="0" w:color="auto"/>
        <w:bottom w:val="none" w:sz="0" w:space="0" w:color="auto"/>
        <w:right w:val="none" w:sz="0" w:space="0" w:color="auto"/>
      </w:divBdr>
      <w:divsChild>
        <w:div w:id="1251308200">
          <w:marLeft w:val="-6255"/>
          <w:marRight w:val="0"/>
          <w:marTop w:val="0"/>
          <w:marBottom w:val="0"/>
          <w:divBdr>
            <w:top w:val="none" w:sz="0" w:space="0" w:color="auto"/>
            <w:left w:val="none" w:sz="0" w:space="0" w:color="auto"/>
            <w:bottom w:val="none" w:sz="0" w:space="0" w:color="auto"/>
            <w:right w:val="none" w:sz="0" w:space="0" w:color="auto"/>
          </w:divBdr>
        </w:div>
        <w:div w:id="957874539">
          <w:marLeft w:val="0"/>
          <w:marRight w:val="0"/>
          <w:marTop w:val="0"/>
          <w:marBottom w:val="0"/>
          <w:divBdr>
            <w:top w:val="none" w:sz="0" w:space="0" w:color="auto"/>
            <w:left w:val="none" w:sz="0" w:space="0" w:color="auto"/>
            <w:bottom w:val="none" w:sz="0" w:space="0" w:color="auto"/>
            <w:right w:val="none" w:sz="0" w:space="0" w:color="auto"/>
          </w:divBdr>
        </w:div>
      </w:divsChild>
    </w:div>
    <w:div w:id="1971549756">
      <w:bodyDiv w:val="1"/>
      <w:marLeft w:val="0"/>
      <w:marRight w:val="0"/>
      <w:marTop w:val="0"/>
      <w:marBottom w:val="0"/>
      <w:divBdr>
        <w:top w:val="none" w:sz="0" w:space="0" w:color="auto"/>
        <w:left w:val="none" w:sz="0" w:space="0" w:color="auto"/>
        <w:bottom w:val="none" w:sz="0" w:space="0" w:color="auto"/>
        <w:right w:val="none" w:sz="0" w:space="0" w:color="auto"/>
      </w:divBdr>
    </w:div>
    <w:div w:id="20923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ublication/316351848_Atmospheric_Pollution_and_the_LNG_as_Ship_Fuel" TargetMode="External"/><Relationship Id="rId18" Type="http://schemas.openxmlformats.org/officeDocument/2006/relationships/hyperlink" Target="http://www.liquefiedgascarrier.com/LNG.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ia.gov/outlooks/aeo/pdf/AEO2020%20Full%20Report.pdf" TargetMode="External"/><Relationship Id="rId7" Type="http://schemas.openxmlformats.org/officeDocument/2006/relationships/endnotes" Target="endnotes.xml"/><Relationship Id="rId12" Type="http://schemas.openxmlformats.org/officeDocument/2006/relationships/hyperlink" Target="https://theicct.org/wp-content/uploads/2021/06/Well-to-wake-co2-mar2021-2.pdf" TargetMode="External"/><Relationship Id="rId17" Type="http://schemas.openxmlformats.org/officeDocument/2006/relationships/hyperlink" Target="https://doi:10.3390/en131950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mo/org/en/OurWork/Environment/PollutionPrevention/AirPollution/Pages/GHG-Emissions.aspx" TargetMode="External"/><Relationship Id="rId20" Type="http://schemas.openxmlformats.org/officeDocument/2006/relationships/hyperlink" Target="https://www.tge-marine.com/wp-content/uploads/01-Broschuere_L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com/content/dam/bp/business-sites/en/global/corporate/pdfs/energy-economics/statistical-review/bp-stats-review-2021-full-report.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390/en14144311" TargetMode="External"/><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hyperlink" Target="https://midc.be/wp-content/uploads/2018/06/methane-slip-from-gas-engines-mainreport-1492296.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platformduurzamebiobrandstoffen.nl/wp-content/uploads/2020/04/2019_Ecofys_Navigant_2030-Transport-decarbonisation-options.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F3733-383D-498E-9DCD-DD849592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8360</TotalTime>
  <Pages>11</Pages>
  <Words>3674</Words>
  <Characters>22049</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Jurek</dc:creator>
  <cp:keywords/>
  <dc:description/>
  <cp:lastModifiedBy>Janusz ROS</cp:lastModifiedBy>
  <cp:revision>306</cp:revision>
  <cp:lastPrinted>2022-03-03T10:15:00Z</cp:lastPrinted>
  <dcterms:created xsi:type="dcterms:W3CDTF">2018-11-16T22:22:00Z</dcterms:created>
  <dcterms:modified xsi:type="dcterms:W3CDTF">2022-11-21T13:06:00Z</dcterms:modified>
</cp:coreProperties>
</file>